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928F613">
      <w:pPr>
        <w:keepNext w:val="0"/>
        <w:keepLines w:val="0"/>
        <w:pageBreakBefore w:val="0"/>
        <w:kinsoku/>
        <w:wordWrap/>
        <w:overflowPunct/>
        <w:topLinePunct w:val="0"/>
        <w:autoSpaceDE/>
        <w:autoSpaceDN/>
        <w:bidi w:val="0"/>
        <w:snapToGrid/>
        <w:spacing w:line="600" w:lineRule="exact"/>
        <w:jc w:val="center"/>
        <w:textAlignment w:val="auto"/>
        <w:rPr>
          <w:rFonts w:hint="eastAsia" w:ascii="宋体" w:hAnsi="宋体" w:eastAsia="宋体" w:cs="宋体"/>
          <w:b/>
          <w:bCs/>
          <w:sz w:val="44"/>
          <w:szCs w:val="44"/>
          <w:highlight w:val="none"/>
          <w:lang w:val="en-US" w:eastAsia="zh-CN"/>
        </w:rPr>
      </w:pPr>
      <w:r>
        <w:rPr>
          <w:rFonts w:hint="eastAsia" w:ascii="宋体" w:hAnsi="宋体" w:eastAsia="宋体" w:cs="宋体"/>
          <w:b/>
          <w:bCs/>
          <w:sz w:val="44"/>
          <w:szCs w:val="44"/>
          <w:highlight w:val="none"/>
          <w:lang w:val="en-US" w:eastAsia="zh-CN"/>
        </w:rPr>
        <w:br w:type="textWrapping"/>
      </w:r>
      <w:r>
        <w:rPr>
          <w:rFonts w:hint="eastAsia" w:ascii="宋体" w:hAnsi="宋体" w:eastAsia="宋体" w:cs="宋体"/>
          <w:b/>
          <w:bCs/>
          <w:sz w:val="44"/>
          <w:szCs w:val="44"/>
          <w:highlight w:val="none"/>
          <w:lang w:val="en-US" w:eastAsia="zh-CN"/>
        </w:rPr>
        <w:t>桂阳沪农商村镇银行</w:t>
      </w:r>
      <w:r>
        <w:rPr>
          <w:rFonts w:hint="eastAsia" w:ascii="宋体" w:hAnsi="宋体" w:eastAsia="宋体" w:cs="宋体"/>
          <w:b/>
          <w:bCs/>
          <w:sz w:val="44"/>
          <w:szCs w:val="44"/>
          <w:highlight w:val="none"/>
          <w:lang w:val="en-US" w:eastAsia="zh-CN"/>
        </w:rPr>
        <w:br w:type="textWrapping"/>
      </w:r>
      <w:r>
        <w:rPr>
          <w:rFonts w:hint="eastAsia" w:ascii="宋体" w:hAnsi="宋体" w:eastAsia="宋体" w:cs="宋体"/>
          <w:b/>
          <w:bCs/>
          <w:sz w:val="44"/>
          <w:szCs w:val="44"/>
          <w:highlight w:val="none"/>
          <w:lang w:val="en-US" w:eastAsia="zh-CN"/>
        </w:rPr>
        <w:t>2025年度环境信息披露报告</w:t>
      </w:r>
      <w:r>
        <w:rPr>
          <w:rFonts w:hint="eastAsia" w:ascii="宋体" w:hAnsi="宋体" w:eastAsia="宋体" w:cs="宋体"/>
          <w:b/>
          <w:bCs/>
          <w:sz w:val="44"/>
          <w:szCs w:val="44"/>
          <w:highlight w:val="none"/>
          <w:lang w:val="en-US" w:eastAsia="zh-CN"/>
        </w:rPr>
        <w:br w:type="textWrapping"/>
      </w:r>
    </w:p>
    <w:p w14:paraId="6B1FC847">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3" w:firstLineChars="200"/>
        <w:jc w:val="both"/>
        <w:textAlignment w:val="auto"/>
        <w:rPr>
          <w:rFonts w:hint="eastAsia" w:ascii="仿宋" w:hAnsi="仿宋" w:eastAsia="仿宋" w:cs="仿宋"/>
          <w:b/>
          <w:bCs/>
          <w:sz w:val="32"/>
          <w:szCs w:val="32"/>
          <w:highlight w:val="none"/>
          <w:lang w:val="en-US" w:eastAsia="zh-CN"/>
        </w:rPr>
      </w:pPr>
      <w:r>
        <w:rPr>
          <w:rFonts w:hint="eastAsia" w:ascii="仿宋" w:hAnsi="仿宋" w:eastAsia="仿宋" w:cs="仿宋"/>
          <w:b/>
          <w:bCs/>
          <w:sz w:val="32"/>
          <w:szCs w:val="32"/>
          <w:highlight w:val="none"/>
          <w:lang w:val="en-US" w:eastAsia="zh-CN"/>
        </w:rPr>
        <w:t>一、年度概况</w:t>
      </w:r>
    </w:p>
    <w:p w14:paraId="6AAEF86C">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firstLine="643" w:firstLineChars="200"/>
        <w:jc w:val="both"/>
        <w:textAlignment w:val="auto"/>
        <w:rPr>
          <w:rFonts w:hint="eastAsia" w:ascii="仿宋" w:hAnsi="仿宋" w:eastAsia="仿宋" w:cs="仿宋"/>
          <w:b/>
          <w:bCs/>
          <w:sz w:val="32"/>
          <w:szCs w:val="32"/>
          <w:highlight w:val="none"/>
          <w:lang w:val="en-US" w:eastAsia="zh-CN"/>
        </w:rPr>
      </w:pPr>
      <w:r>
        <w:rPr>
          <w:rFonts w:hint="eastAsia" w:ascii="仿宋" w:hAnsi="仿宋" w:eastAsia="仿宋" w:cs="仿宋"/>
          <w:b/>
          <w:bCs/>
          <w:sz w:val="32"/>
          <w:szCs w:val="32"/>
          <w:highlight w:val="none"/>
          <w:lang w:val="en-US" w:eastAsia="zh-CN"/>
        </w:rPr>
        <w:t>（一）整体概况</w:t>
      </w:r>
    </w:p>
    <w:p w14:paraId="61A9DED8">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30" w:firstLineChars="300"/>
        <w:jc w:val="both"/>
        <w:textAlignment w:val="auto"/>
        <w:rPr>
          <w:rFonts w:hint="eastAsia" w:ascii="仿宋" w:hAnsi="仿宋" w:eastAsia="仿宋" w:cs="仿宋"/>
          <w:sz w:val="32"/>
          <w:szCs w:val="32"/>
          <w:highlight w:val="none"/>
          <w:lang w:val="en-US" w:eastAsia="zh-CN"/>
        </w:rPr>
      </w:pPr>
      <w:r>
        <w:rPr>
          <w:highlight w:val="none"/>
        </w:rPr>
        <w:drawing>
          <wp:anchor distT="0" distB="0" distL="114300" distR="114300" simplePos="0" relativeHeight="251659264" behindDoc="0" locked="0" layoutInCell="1" allowOverlap="1">
            <wp:simplePos x="0" y="0"/>
            <wp:positionH relativeFrom="column">
              <wp:posOffset>0</wp:posOffset>
            </wp:positionH>
            <wp:positionV relativeFrom="paragraph">
              <wp:posOffset>66675</wp:posOffset>
            </wp:positionV>
            <wp:extent cx="3230245" cy="2593975"/>
            <wp:effectExtent l="0" t="0" r="8255" b="9525"/>
            <wp:wrapSquare wrapText="bothSides"/>
            <wp:docPr id="9" name="图片 9" descr="微信图片_202311131543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微信图片_202311131543101"/>
                    <pic:cNvPicPr>
                      <a:picLocks noChangeAspect="1"/>
                    </pic:cNvPicPr>
                  </pic:nvPicPr>
                  <pic:blipFill>
                    <a:blip r:embed="rId5"/>
                    <a:srcRect b="2645"/>
                    <a:stretch>
                      <a:fillRect/>
                    </a:stretch>
                  </pic:blipFill>
                  <pic:spPr>
                    <a:xfrm>
                      <a:off x="0" y="0"/>
                      <a:ext cx="3230245" cy="2593975"/>
                    </a:xfrm>
                    <a:prstGeom prst="rect">
                      <a:avLst/>
                    </a:prstGeom>
                  </pic:spPr>
                </pic:pic>
              </a:graphicData>
            </a:graphic>
          </wp:anchor>
        </w:drawing>
      </w:r>
      <w:r>
        <w:rPr>
          <w:rFonts w:hint="eastAsia" w:ascii="仿宋" w:hAnsi="仿宋" w:eastAsia="仿宋" w:cs="仿宋"/>
          <w:sz w:val="32"/>
          <w:szCs w:val="32"/>
          <w:highlight w:val="none"/>
          <w:lang w:val="en-US" w:eastAsia="zh-CN"/>
        </w:rPr>
        <w:t>桂阳沪农商村镇银行成立于2012年7月，它是由上海农商银行控股的“小而美、小而优”的银行，注册资本5,000万元，全行员工56人，内设职能部门5个，业务团队4个，下辖鹿峰支行、龙潭支行2家网点，坚持“扎根县域、支农支小、灵活创新、高效便捷”的经营特点，因地制宜制定信贷政策、创新金融产品，为广大农民、社区居民、中小企业和个体工商户提供存款、贷款、结算等多种金融服务，满足城乡经济主体多元化的金融服务需求。</w:t>
      </w:r>
    </w:p>
    <w:p w14:paraId="50DC3FDA">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 xml:space="preserve">    开业14年，始终坚持支农支小的市场定位，在促进中小微企业发展以及全县精准脱贫中做出了一定的贡献。先后荣获“全国百强村镇银行”“明星村镇银行”“慈善企业”“信息宣传先进集体”“爱心助学 大爱无疆”等荣誉奖牌。本行坚持经济效益、社会效益和生态效益的有机统一，积极推动融资结构的“绿色调整”，坚持绿色营运，推动“绿色、节能、环保”的运营理念，倡导与生态相协调的生产生活方式，持续推进自身节能减排。截至2025年末，本行绿色信贷业务47笔，金额555.87万元，积极为商户、农户提供贷款支持，为地方经济发展做出了积极贡献。</w:t>
      </w:r>
    </w:p>
    <w:p w14:paraId="34D42592">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 xml:space="preserve">   </w:t>
      </w:r>
      <w:r>
        <w:rPr>
          <w:rFonts w:hint="eastAsia" w:ascii="仿宋" w:hAnsi="仿宋" w:eastAsia="仿宋" w:cs="仿宋"/>
          <w:b/>
          <w:bCs/>
          <w:sz w:val="32"/>
          <w:szCs w:val="32"/>
          <w:highlight w:val="none"/>
          <w:lang w:val="en-US" w:eastAsia="zh-CN"/>
        </w:rPr>
        <w:t>（二）战略规划及发展目标</w:t>
      </w:r>
    </w:p>
    <w:p w14:paraId="1D29D8AF">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近年来，本行践行和倡导绿色发展理念，积极贯彻落实国家和地方政府实施低碳发展的重大决策部署，把绿色金融提升至了全行战略高度，为推进绿色业务发展注入新动力。根据监管要求和自身发展情况，本行制定了绿色环保发展整体工作目标。</w:t>
      </w:r>
    </w:p>
    <w:p w14:paraId="383A70AD">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3" w:firstLineChars="200"/>
        <w:textAlignment w:val="auto"/>
        <w:rPr>
          <w:rFonts w:hint="eastAsia" w:ascii="仿宋" w:hAnsi="仿宋" w:eastAsia="仿宋" w:cs="仿宋"/>
          <w:b/>
          <w:bCs/>
          <w:sz w:val="32"/>
          <w:szCs w:val="32"/>
          <w:highlight w:val="none"/>
          <w:lang w:val="en-US" w:eastAsia="zh-CN"/>
        </w:rPr>
      </w:pPr>
      <w:r>
        <w:rPr>
          <w:rFonts w:hint="eastAsia" w:ascii="仿宋" w:hAnsi="仿宋" w:eastAsia="仿宋" w:cs="仿宋"/>
          <w:b/>
          <w:bCs/>
          <w:sz w:val="32"/>
          <w:szCs w:val="32"/>
          <w:highlight w:val="none"/>
          <w:lang w:val="en-US" w:eastAsia="zh-CN"/>
        </w:rPr>
        <w:t>一是产品创新：</w:t>
      </w:r>
      <w:r>
        <w:rPr>
          <w:rFonts w:hint="eastAsia" w:ascii="仿宋" w:hAnsi="仿宋" w:eastAsia="仿宋" w:cs="仿宋"/>
          <w:b w:val="0"/>
          <w:bCs w:val="0"/>
          <w:sz w:val="32"/>
          <w:szCs w:val="32"/>
          <w:highlight w:val="none"/>
          <w:lang w:val="en-US" w:eastAsia="zh-CN"/>
        </w:rPr>
        <w:t>开发针对农村绿色项目的专属贷款产品，如“生态种植贷”，为采用绿色种植技术的农户提供低息贷款；“农村新能源贷”，支持农村地区新能源设施建设和运营。简化贷款审批流程，根据绿色项目特点，制定专门的审批标准和额度测算模型。</w:t>
      </w:r>
    </w:p>
    <w:p w14:paraId="7696FEDE">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3" w:firstLineChars="200"/>
        <w:textAlignment w:val="auto"/>
        <w:rPr>
          <w:rFonts w:hint="eastAsia" w:ascii="仿宋" w:hAnsi="仿宋" w:eastAsia="仿宋" w:cs="仿宋"/>
          <w:b/>
          <w:bCs/>
          <w:sz w:val="32"/>
          <w:szCs w:val="32"/>
          <w:highlight w:val="none"/>
          <w:lang w:val="en-US" w:eastAsia="zh-CN"/>
        </w:rPr>
      </w:pPr>
      <w:r>
        <w:rPr>
          <w:rFonts w:hint="eastAsia" w:ascii="仿宋" w:hAnsi="仿宋" w:eastAsia="仿宋" w:cs="仿宋"/>
          <w:b/>
          <w:bCs/>
          <w:sz w:val="32"/>
          <w:szCs w:val="32"/>
          <w:highlight w:val="none"/>
          <w:lang w:val="en-US" w:eastAsia="zh-CN"/>
        </w:rPr>
        <w:t>二是业务拓展：</w:t>
      </w:r>
      <w:r>
        <w:rPr>
          <w:rFonts w:hint="eastAsia" w:ascii="仿宋" w:hAnsi="仿宋" w:eastAsia="仿宋" w:cs="仿宋"/>
          <w:b w:val="0"/>
          <w:bCs w:val="0"/>
          <w:sz w:val="32"/>
          <w:szCs w:val="32"/>
          <w:highlight w:val="none"/>
          <w:lang w:val="en-US" w:eastAsia="zh-CN"/>
        </w:rPr>
        <w:t>加强与当地环保企业、农业合作社、绿色科技企业合作，主动挖掘绿色贷款项目。与政府部门合作，参与农村生态环境治理、绿色基础设施建设等项目融资。</w:t>
      </w:r>
    </w:p>
    <w:p w14:paraId="36EAF719">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3" w:firstLineChars="200"/>
        <w:textAlignment w:val="auto"/>
        <w:rPr>
          <w:rFonts w:hint="eastAsia" w:ascii="仿宋" w:hAnsi="仿宋" w:eastAsia="仿宋" w:cs="仿宋"/>
          <w:sz w:val="32"/>
          <w:szCs w:val="32"/>
          <w:highlight w:val="none"/>
          <w:lang w:val="en-US" w:eastAsia="zh-CN"/>
        </w:rPr>
      </w:pPr>
      <w:r>
        <w:rPr>
          <w:rFonts w:hint="eastAsia" w:ascii="仿宋" w:hAnsi="仿宋" w:eastAsia="仿宋" w:cs="仿宋"/>
          <w:b/>
          <w:bCs/>
          <w:sz w:val="32"/>
          <w:szCs w:val="32"/>
          <w:highlight w:val="none"/>
          <w:lang w:val="en-US" w:eastAsia="zh-CN"/>
        </w:rPr>
        <w:t>三是风险管理：</w:t>
      </w:r>
      <w:r>
        <w:rPr>
          <w:rFonts w:hint="eastAsia" w:ascii="仿宋" w:hAnsi="仿宋" w:eastAsia="仿宋" w:cs="仿宋"/>
          <w:b w:val="0"/>
          <w:bCs w:val="0"/>
          <w:sz w:val="32"/>
          <w:szCs w:val="32"/>
          <w:highlight w:val="none"/>
          <w:lang w:val="en-US" w:eastAsia="zh-CN"/>
        </w:rPr>
        <w:t>建立绿色贷款风险评估体系，充分考虑环境风险因素，对贷款项目环境影响进行量化评估。加强贷后管理，定期对绿色贷款项目环境效益和经济效益进行跟踪监测，确保贷款资金安全和项目可持续性。</w:t>
      </w:r>
    </w:p>
    <w:p w14:paraId="2CE65C17">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3" w:firstLineChars="200"/>
        <w:textAlignment w:val="auto"/>
        <w:rPr>
          <w:rFonts w:hint="eastAsia" w:ascii="仿宋" w:hAnsi="仿宋" w:eastAsia="仿宋" w:cs="仿宋"/>
          <w:sz w:val="32"/>
          <w:szCs w:val="32"/>
          <w:highlight w:val="none"/>
          <w:lang w:val="en-US" w:eastAsia="zh-CN"/>
        </w:rPr>
      </w:pPr>
      <w:r>
        <w:rPr>
          <w:rFonts w:hint="eastAsia" w:ascii="仿宋" w:hAnsi="仿宋" w:eastAsia="仿宋" w:cs="仿宋"/>
          <w:b/>
          <w:bCs/>
          <w:sz w:val="32"/>
          <w:szCs w:val="32"/>
          <w:highlight w:val="none"/>
          <w:lang w:val="en-US" w:eastAsia="zh-CN"/>
        </w:rPr>
        <w:t>（三）环境关键绩效表</w:t>
      </w:r>
    </w:p>
    <w:tbl>
      <w:tblPr>
        <w:tblStyle w:val="12"/>
        <w:tblW w:w="798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19"/>
        <w:gridCol w:w="2370"/>
        <w:gridCol w:w="1935"/>
        <w:gridCol w:w="1965"/>
      </w:tblGrid>
      <w:tr w14:paraId="190366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jc w:val="center"/>
        </w:trPr>
        <w:tc>
          <w:tcPr>
            <w:tcW w:w="1719" w:type="dxa"/>
          </w:tcPr>
          <w:p w14:paraId="0EFE04E6">
            <w:pPr>
              <w:pStyle w:val="16"/>
              <w:keepNext w:val="0"/>
              <w:keepLines w:val="0"/>
              <w:pageBreakBefore w:val="0"/>
              <w:kinsoku/>
              <w:wordWrap/>
              <w:overflowPunct/>
              <w:topLinePunct w:val="0"/>
              <w:autoSpaceDE/>
              <w:autoSpaceDN/>
              <w:bidi w:val="0"/>
              <w:adjustRightInd/>
              <w:snapToGrid/>
              <w:spacing w:before="34" w:line="540" w:lineRule="atLeast"/>
              <w:ind w:left="327" w:right="319"/>
              <w:textAlignment w:val="auto"/>
              <w:rPr>
                <w:rFonts w:hint="eastAsia" w:ascii="仿宋" w:hAnsi="仿宋" w:eastAsia="仿宋" w:cs="仿宋"/>
                <w:b/>
                <w:sz w:val="24"/>
                <w:szCs w:val="24"/>
                <w:highlight w:val="none"/>
              </w:rPr>
            </w:pPr>
            <w:r>
              <w:rPr>
                <w:rFonts w:hint="eastAsia" w:ascii="仿宋" w:hAnsi="仿宋" w:eastAsia="仿宋" w:cs="仿宋"/>
                <w:b/>
                <w:sz w:val="24"/>
                <w:szCs w:val="24"/>
                <w:highlight w:val="none"/>
              </w:rPr>
              <w:t>类别</w:t>
            </w:r>
          </w:p>
        </w:tc>
        <w:tc>
          <w:tcPr>
            <w:tcW w:w="2370" w:type="dxa"/>
          </w:tcPr>
          <w:p w14:paraId="4E193BF0">
            <w:pPr>
              <w:pStyle w:val="16"/>
              <w:keepNext w:val="0"/>
              <w:keepLines w:val="0"/>
              <w:pageBreakBefore w:val="0"/>
              <w:kinsoku/>
              <w:wordWrap/>
              <w:overflowPunct/>
              <w:topLinePunct w:val="0"/>
              <w:autoSpaceDE/>
              <w:autoSpaceDN/>
              <w:bidi w:val="0"/>
              <w:adjustRightInd/>
              <w:snapToGrid/>
              <w:spacing w:before="34" w:line="540" w:lineRule="atLeast"/>
              <w:ind w:left="327" w:right="315"/>
              <w:textAlignment w:val="auto"/>
              <w:rPr>
                <w:rFonts w:hint="eastAsia" w:ascii="仿宋" w:hAnsi="仿宋" w:eastAsia="仿宋" w:cs="仿宋"/>
                <w:b/>
                <w:sz w:val="24"/>
                <w:szCs w:val="24"/>
                <w:highlight w:val="none"/>
              </w:rPr>
            </w:pPr>
            <w:r>
              <w:rPr>
                <w:rFonts w:hint="eastAsia" w:ascii="仿宋" w:hAnsi="仿宋" w:eastAsia="仿宋" w:cs="仿宋"/>
                <w:b/>
                <w:sz w:val="24"/>
                <w:szCs w:val="24"/>
                <w:highlight w:val="none"/>
              </w:rPr>
              <w:t>环境指标</w:t>
            </w:r>
          </w:p>
        </w:tc>
        <w:tc>
          <w:tcPr>
            <w:tcW w:w="1935" w:type="dxa"/>
          </w:tcPr>
          <w:p w14:paraId="1D219EC2">
            <w:pPr>
              <w:pStyle w:val="16"/>
              <w:keepNext w:val="0"/>
              <w:keepLines w:val="0"/>
              <w:pageBreakBefore w:val="0"/>
              <w:kinsoku/>
              <w:wordWrap/>
              <w:overflowPunct/>
              <w:topLinePunct w:val="0"/>
              <w:autoSpaceDE/>
              <w:autoSpaceDN/>
              <w:bidi w:val="0"/>
              <w:adjustRightInd/>
              <w:snapToGrid/>
              <w:spacing w:before="34" w:line="540" w:lineRule="atLeast"/>
              <w:ind w:left="327" w:right="315"/>
              <w:textAlignment w:val="auto"/>
              <w:rPr>
                <w:rFonts w:hint="eastAsia" w:ascii="仿宋" w:hAnsi="仿宋" w:eastAsia="仿宋" w:cs="仿宋"/>
                <w:b/>
                <w:sz w:val="24"/>
                <w:szCs w:val="24"/>
                <w:highlight w:val="none"/>
              </w:rPr>
            </w:pPr>
            <w:r>
              <w:rPr>
                <w:rFonts w:hint="eastAsia" w:ascii="仿宋" w:hAnsi="仿宋" w:eastAsia="仿宋" w:cs="仿宋"/>
                <w:b/>
                <w:sz w:val="24"/>
                <w:szCs w:val="24"/>
                <w:highlight w:val="none"/>
              </w:rPr>
              <w:t>单位</w:t>
            </w:r>
          </w:p>
        </w:tc>
        <w:tc>
          <w:tcPr>
            <w:tcW w:w="1965" w:type="dxa"/>
          </w:tcPr>
          <w:p w14:paraId="78D1972E">
            <w:pPr>
              <w:pStyle w:val="16"/>
              <w:keepNext w:val="0"/>
              <w:keepLines w:val="0"/>
              <w:pageBreakBefore w:val="0"/>
              <w:kinsoku/>
              <w:wordWrap/>
              <w:overflowPunct/>
              <w:topLinePunct w:val="0"/>
              <w:autoSpaceDE/>
              <w:autoSpaceDN/>
              <w:bidi w:val="0"/>
              <w:adjustRightInd/>
              <w:snapToGrid/>
              <w:spacing w:before="34" w:line="540" w:lineRule="atLeast"/>
              <w:ind w:left="327" w:right="318"/>
              <w:textAlignment w:val="auto"/>
              <w:rPr>
                <w:rFonts w:hint="eastAsia" w:ascii="仿宋" w:hAnsi="仿宋" w:eastAsia="仿宋" w:cs="仿宋"/>
                <w:b/>
                <w:sz w:val="24"/>
                <w:szCs w:val="24"/>
                <w:highlight w:val="none"/>
              </w:rPr>
            </w:pPr>
            <w:r>
              <w:rPr>
                <w:rFonts w:hint="eastAsia" w:ascii="仿宋" w:hAnsi="仿宋" w:eastAsia="仿宋" w:cs="仿宋"/>
                <w:b/>
                <w:sz w:val="24"/>
                <w:szCs w:val="24"/>
                <w:highlight w:val="none"/>
                <w:lang w:eastAsia="zh-CN"/>
              </w:rPr>
              <w:t>202</w:t>
            </w:r>
            <w:r>
              <w:rPr>
                <w:rFonts w:hint="eastAsia" w:ascii="仿宋" w:hAnsi="仿宋" w:eastAsia="仿宋" w:cs="仿宋"/>
                <w:b/>
                <w:sz w:val="24"/>
                <w:szCs w:val="24"/>
                <w:highlight w:val="none"/>
                <w:lang w:val="en-US" w:eastAsia="zh-CN"/>
              </w:rPr>
              <w:t>5</w:t>
            </w:r>
            <w:r>
              <w:rPr>
                <w:rFonts w:hint="eastAsia" w:ascii="仿宋" w:hAnsi="仿宋" w:eastAsia="仿宋" w:cs="仿宋"/>
                <w:b/>
                <w:sz w:val="24"/>
                <w:szCs w:val="24"/>
                <w:highlight w:val="none"/>
              </w:rPr>
              <w:t>年度</w:t>
            </w:r>
          </w:p>
        </w:tc>
      </w:tr>
      <w:tr w14:paraId="67A54F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jc w:val="center"/>
        </w:trPr>
        <w:tc>
          <w:tcPr>
            <w:tcW w:w="1719" w:type="dxa"/>
            <w:vMerge w:val="restart"/>
          </w:tcPr>
          <w:p w14:paraId="3852CACF">
            <w:pPr>
              <w:pStyle w:val="16"/>
              <w:keepNext w:val="0"/>
              <w:keepLines w:val="0"/>
              <w:pageBreakBefore w:val="0"/>
              <w:kinsoku/>
              <w:wordWrap/>
              <w:overflowPunct/>
              <w:topLinePunct w:val="0"/>
              <w:autoSpaceDE/>
              <w:autoSpaceDN/>
              <w:bidi w:val="0"/>
              <w:adjustRightInd/>
              <w:snapToGrid/>
              <w:spacing w:line="540" w:lineRule="atLeast"/>
              <w:jc w:val="left"/>
              <w:textAlignment w:val="auto"/>
              <w:rPr>
                <w:rFonts w:hint="eastAsia" w:ascii="仿宋" w:hAnsi="仿宋" w:eastAsia="仿宋" w:cs="仿宋"/>
                <w:b/>
                <w:sz w:val="24"/>
                <w:szCs w:val="24"/>
                <w:highlight w:val="none"/>
              </w:rPr>
            </w:pPr>
          </w:p>
          <w:p w14:paraId="6EE4DDC2">
            <w:pPr>
              <w:pStyle w:val="16"/>
              <w:keepNext w:val="0"/>
              <w:keepLines w:val="0"/>
              <w:pageBreakBefore w:val="0"/>
              <w:kinsoku/>
              <w:wordWrap/>
              <w:overflowPunct/>
              <w:topLinePunct w:val="0"/>
              <w:autoSpaceDE/>
              <w:autoSpaceDN/>
              <w:bidi w:val="0"/>
              <w:adjustRightInd/>
              <w:snapToGrid/>
              <w:spacing w:line="540" w:lineRule="atLeast"/>
              <w:jc w:val="left"/>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绿色金融服务</w:t>
            </w:r>
          </w:p>
        </w:tc>
        <w:tc>
          <w:tcPr>
            <w:tcW w:w="2370" w:type="dxa"/>
          </w:tcPr>
          <w:p w14:paraId="15E505AC">
            <w:pPr>
              <w:pStyle w:val="16"/>
              <w:keepNext w:val="0"/>
              <w:keepLines w:val="0"/>
              <w:pageBreakBefore w:val="0"/>
              <w:kinsoku/>
              <w:wordWrap/>
              <w:overflowPunct/>
              <w:topLinePunct w:val="0"/>
              <w:autoSpaceDE/>
              <w:autoSpaceDN/>
              <w:bidi w:val="0"/>
              <w:adjustRightInd/>
              <w:snapToGrid/>
              <w:spacing w:before="34" w:line="540" w:lineRule="atLeast"/>
              <w:ind w:left="327" w:right="32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绿色贷款余额</w:t>
            </w:r>
          </w:p>
        </w:tc>
        <w:tc>
          <w:tcPr>
            <w:tcW w:w="1935" w:type="dxa"/>
          </w:tcPr>
          <w:p w14:paraId="49226FB1">
            <w:pPr>
              <w:pStyle w:val="16"/>
              <w:keepNext w:val="0"/>
              <w:keepLines w:val="0"/>
              <w:pageBreakBefore w:val="0"/>
              <w:kinsoku/>
              <w:wordWrap/>
              <w:overflowPunct/>
              <w:topLinePunct w:val="0"/>
              <w:autoSpaceDE/>
              <w:autoSpaceDN/>
              <w:bidi w:val="0"/>
              <w:adjustRightInd/>
              <w:snapToGrid/>
              <w:spacing w:before="34" w:line="540" w:lineRule="atLeast"/>
              <w:ind w:left="327" w:right="315"/>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万元</w:t>
            </w:r>
          </w:p>
        </w:tc>
        <w:tc>
          <w:tcPr>
            <w:tcW w:w="1965" w:type="dxa"/>
            <w:shd w:val="clear" w:color="auto" w:fill="auto"/>
            <w:vAlign w:val="top"/>
          </w:tcPr>
          <w:p w14:paraId="6E334867">
            <w:pPr>
              <w:pStyle w:val="16"/>
              <w:keepNext w:val="0"/>
              <w:keepLines w:val="0"/>
              <w:pageBreakBefore w:val="0"/>
              <w:kinsoku/>
              <w:wordWrap/>
              <w:overflowPunct/>
              <w:topLinePunct w:val="0"/>
              <w:autoSpaceDE/>
              <w:autoSpaceDN/>
              <w:bidi w:val="0"/>
              <w:adjustRightInd/>
              <w:snapToGrid/>
              <w:spacing w:before="47" w:line="540" w:lineRule="atLeast"/>
              <w:ind w:left="327" w:leftChars="0" w:right="316" w:rightChars="0"/>
              <w:textAlignment w:val="auto"/>
              <w:rPr>
                <w:rFonts w:hint="default" w:ascii="仿宋" w:hAnsi="仿宋" w:eastAsia="仿宋" w:cs="仿宋"/>
                <w:kern w:val="2"/>
                <w:sz w:val="24"/>
                <w:szCs w:val="24"/>
                <w:highlight w:val="none"/>
                <w:lang w:val="en-US" w:eastAsia="zh-CN" w:bidi="zh-CN"/>
              </w:rPr>
            </w:pPr>
            <w:r>
              <w:rPr>
                <w:rFonts w:hint="eastAsia" w:ascii="仿宋" w:hAnsi="仿宋" w:eastAsia="仿宋" w:cs="仿宋"/>
                <w:sz w:val="24"/>
                <w:szCs w:val="24"/>
                <w:highlight w:val="none"/>
                <w:lang w:val="en-US" w:eastAsia="zh-CN"/>
              </w:rPr>
              <w:t>555.87</w:t>
            </w:r>
          </w:p>
        </w:tc>
      </w:tr>
      <w:tr w14:paraId="5B5317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jc w:val="center"/>
        </w:trPr>
        <w:tc>
          <w:tcPr>
            <w:tcW w:w="1719" w:type="dxa"/>
            <w:vMerge w:val="continue"/>
            <w:tcBorders>
              <w:top w:val="nil"/>
            </w:tcBorders>
          </w:tcPr>
          <w:p w14:paraId="44BAC9CD">
            <w:pPr>
              <w:keepNext w:val="0"/>
              <w:keepLines w:val="0"/>
              <w:pageBreakBefore w:val="0"/>
              <w:kinsoku/>
              <w:wordWrap/>
              <w:overflowPunct/>
              <w:topLinePunct w:val="0"/>
              <w:autoSpaceDE/>
              <w:autoSpaceDN/>
              <w:bidi w:val="0"/>
              <w:adjustRightInd/>
              <w:snapToGrid/>
              <w:spacing w:line="540" w:lineRule="atLeast"/>
              <w:textAlignment w:val="auto"/>
              <w:rPr>
                <w:rFonts w:hint="eastAsia" w:ascii="仿宋" w:hAnsi="仿宋" w:eastAsia="仿宋" w:cs="仿宋"/>
                <w:sz w:val="24"/>
                <w:szCs w:val="24"/>
                <w:highlight w:val="none"/>
              </w:rPr>
            </w:pPr>
          </w:p>
        </w:tc>
        <w:tc>
          <w:tcPr>
            <w:tcW w:w="2370" w:type="dxa"/>
          </w:tcPr>
          <w:p w14:paraId="6A55D205">
            <w:pPr>
              <w:pStyle w:val="16"/>
              <w:keepNext w:val="0"/>
              <w:keepLines w:val="0"/>
              <w:pageBreakBefore w:val="0"/>
              <w:kinsoku/>
              <w:wordWrap/>
              <w:overflowPunct/>
              <w:topLinePunct w:val="0"/>
              <w:autoSpaceDE/>
              <w:autoSpaceDN/>
              <w:bidi w:val="0"/>
              <w:adjustRightInd/>
              <w:snapToGrid/>
              <w:spacing w:before="34" w:line="540" w:lineRule="atLeast"/>
              <w:ind w:left="327" w:right="32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各项贷款余额</w:t>
            </w:r>
          </w:p>
        </w:tc>
        <w:tc>
          <w:tcPr>
            <w:tcW w:w="1935" w:type="dxa"/>
          </w:tcPr>
          <w:p w14:paraId="131E4CC0">
            <w:pPr>
              <w:pStyle w:val="16"/>
              <w:keepNext w:val="0"/>
              <w:keepLines w:val="0"/>
              <w:pageBreakBefore w:val="0"/>
              <w:kinsoku/>
              <w:wordWrap/>
              <w:overflowPunct/>
              <w:topLinePunct w:val="0"/>
              <w:autoSpaceDE/>
              <w:autoSpaceDN/>
              <w:bidi w:val="0"/>
              <w:adjustRightInd/>
              <w:snapToGrid/>
              <w:spacing w:before="34" w:line="540" w:lineRule="atLeast"/>
              <w:ind w:left="327" w:right="315"/>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万元</w:t>
            </w:r>
          </w:p>
        </w:tc>
        <w:tc>
          <w:tcPr>
            <w:tcW w:w="1965" w:type="dxa"/>
            <w:shd w:val="clear" w:color="auto" w:fill="auto"/>
            <w:vAlign w:val="top"/>
          </w:tcPr>
          <w:p w14:paraId="62E6B755">
            <w:pPr>
              <w:pStyle w:val="16"/>
              <w:keepNext w:val="0"/>
              <w:keepLines w:val="0"/>
              <w:pageBreakBefore w:val="0"/>
              <w:kinsoku/>
              <w:wordWrap/>
              <w:overflowPunct/>
              <w:topLinePunct w:val="0"/>
              <w:autoSpaceDE/>
              <w:autoSpaceDN/>
              <w:bidi w:val="0"/>
              <w:adjustRightInd/>
              <w:snapToGrid/>
              <w:spacing w:before="47" w:line="540" w:lineRule="atLeast"/>
              <w:ind w:left="327" w:leftChars="0" w:right="316" w:rightChars="0"/>
              <w:textAlignment w:val="auto"/>
              <w:rPr>
                <w:rFonts w:hint="default" w:ascii="仿宋" w:hAnsi="仿宋" w:eastAsia="仿宋" w:cs="仿宋"/>
                <w:kern w:val="2"/>
                <w:sz w:val="24"/>
                <w:szCs w:val="24"/>
                <w:highlight w:val="none"/>
                <w:lang w:val="en-US" w:eastAsia="zh-CN" w:bidi="zh-CN"/>
              </w:rPr>
            </w:pPr>
            <w:r>
              <w:rPr>
                <w:rFonts w:hint="eastAsia" w:ascii="仿宋" w:hAnsi="仿宋" w:eastAsia="仿宋" w:cs="仿宋"/>
                <w:sz w:val="24"/>
                <w:szCs w:val="24"/>
                <w:highlight w:val="none"/>
                <w:lang w:val="en-US" w:eastAsia="zh-CN"/>
              </w:rPr>
              <w:t>116652.69</w:t>
            </w:r>
          </w:p>
        </w:tc>
      </w:tr>
      <w:tr w14:paraId="0DEA65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jc w:val="center"/>
        </w:trPr>
        <w:tc>
          <w:tcPr>
            <w:tcW w:w="1719" w:type="dxa"/>
            <w:vMerge w:val="continue"/>
            <w:tcBorders>
              <w:top w:val="nil"/>
            </w:tcBorders>
          </w:tcPr>
          <w:p w14:paraId="2F730752">
            <w:pPr>
              <w:keepNext w:val="0"/>
              <w:keepLines w:val="0"/>
              <w:pageBreakBefore w:val="0"/>
              <w:kinsoku/>
              <w:wordWrap/>
              <w:overflowPunct/>
              <w:topLinePunct w:val="0"/>
              <w:autoSpaceDE/>
              <w:autoSpaceDN/>
              <w:bidi w:val="0"/>
              <w:adjustRightInd/>
              <w:snapToGrid/>
              <w:spacing w:line="540" w:lineRule="atLeast"/>
              <w:textAlignment w:val="auto"/>
              <w:rPr>
                <w:rFonts w:hint="eastAsia" w:ascii="仿宋" w:hAnsi="仿宋" w:eastAsia="仿宋" w:cs="仿宋"/>
                <w:sz w:val="24"/>
                <w:szCs w:val="24"/>
                <w:highlight w:val="none"/>
              </w:rPr>
            </w:pPr>
          </w:p>
        </w:tc>
        <w:tc>
          <w:tcPr>
            <w:tcW w:w="2370" w:type="dxa"/>
          </w:tcPr>
          <w:p w14:paraId="7EC3245D">
            <w:pPr>
              <w:pStyle w:val="16"/>
              <w:keepNext w:val="0"/>
              <w:keepLines w:val="0"/>
              <w:pageBreakBefore w:val="0"/>
              <w:kinsoku/>
              <w:wordWrap/>
              <w:overflowPunct/>
              <w:topLinePunct w:val="0"/>
              <w:autoSpaceDE/>
              <w:autoSpaceDN/>
              <w:bidi w:val="0"/>
              <w:adjustRightInd/>
              <w:snapToGrid/>
              <w:spacing w:before="34" w:line="540" w:lineRule="atLeast"/>
              <w:ind w:left="327" w:right="32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绿色贷款占比</w:t>
            </w:r>
          </w:p>
        </w:tc>
        <w:tc>
          <w:tcPr>
            <w:tcW w:w="1935" w:type="dxa"/>
          </w:tcPr>
          <w:p w14:paraId="4F84BF75">
            <w:pPr>
              <w:pStyle w:val="16"/>
              <w:keepNext w:val="0"/>
              <w:keepLines w:val="0"/>
              <w:pageBreakBefore w:val="0"/>
              <w:kinsoku/>
              <w:wordWrap/>
              <w:overflowPunct/>
              <w:topLinePunct w:val="0"/>
              <w:autoSpaceDE/>
              <w:autoSpaceDN/>
              <w:bidi w:val="0"/>
              <w:adjustRightInd/>
              <w:snapToGrid/>
              <w:spacing w:before="47" w:line="540" w:lineRule="atLeast"/>
              <w:ind w:left="9"/>
              <w:textAlignment w:val="auto"/>
              <w:rPr>
                <w:rFonts w:hint="eastAsia" w:ascii="仿宋" w:hAnsi="仿宋" w:eastAsia="仿宋" w:cs="仿宋"/>
                <w:sz w:val="24"/>
                <w:szCs w:val="24"/>
                <w:highlight w:val="none"/>
              </w:rPr>
            </w:pPr>
            <w:r>
              <w:rPr>
                <w:rFonts w:hint="eastAsia" w:ascii="仿宋" w:hAnsi="仿宋" w:eastAsia="仿宋" w:cs="仿宋"/>
                <w:w w:val="100"/>
                <w:sz w:val="24"/>
                <w:szCs w:val="24"/>
                <w:highlight w:val="none"/>
              </w:rPr>
              <w:t>%</w:t>
            </w:r>
          </w:p>
        </w:tc>
        <w:tc>
          <w:tcPr>
            <w:tcW w:w="1965" w:type="dxa"/>
            <w:shd w:val="clear" w:color="auto" w:fill="auto"/>
            <w:vAlign w:val="top"/>
          </w:tcPr>
          <w:p w14:paraId="6F9A37CF">
            <w:pPr>
              <w:pStyle w:val="16"/>
              <w:keepNext w:val="0"/>
              <w:keepLines w:val="0"/>
              <w:pageBreakBefore w:val="0"/>
              <w:kinsoku/>
              <w:wordWrap/>
              <w:overflowPunct/>
              <w:topLinePunct w:val="0"/>
              <w:autoSpaceDE/>
              <w:autoSpaceDN/>
              <w:bidi w:val="0"/>
              <w:adjustRightInd/>
              <w:snapToGrid/>
              <w:spacing w:before="47" w:line="540" w:lineRule="atLeast"/>
              <w:ind w:left="327" w:leftChars="0" w:right="318" w:rightChars="0"/>
              <w:textAlignment w:val="auto"/>
              <w:rPr>
                <w:rFonts w:hint="default" w:ascii="仿宋" w:hAnsi="仿宋" w:eastAsia="仿宋" w:cs="仿宋"/>
                <w:kern w:val="2"/>
                <w:sz w:val="24"/>
                <w:szCs w:val="24"/>
                <w:highlight w:val="none"/>
                <w:lang w:val="en-US" w:eastAsia="zh-CN" w:bidi="zh-CN"/>
              </w:rPr>
            </w:pPr>
            <w:r>
              <w:rPr>
                <w:rFonts w:hint="eastAsia" w:ascii="仿宋" w:hAnsi="仿宋" w:eastAsia="仿宋" w:cs="仿宋"/>
                <w:sz w:val="24"/>
                <w:szCs w:val="24"/>
                <w:highlight w:val="none"/>
                <w:lang w:val="en-US" w:eastAsia="zh-CN"/>
              </w:rPr>
              <w:t>0.48</w:t>
            </w:r>
          </w:p>
        </w:tc>
      </w:tr>
      <w:tr w14:paraId="27FD7E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1719" w:type="dxa"/>
            <w:vMerge w:val="restart"/>
          </w:tcPr>
          <w:p w14:paraId="282DC057">
            <w:pPr>
              <w:pStyle w:val="16"/>
              <w:keepNext w:val="0"/>
              <w:keepLines w:val="0"/>
              <w:pageBreakBefore w:val="0"/>
              <w:kinsoku/>
              <w:wordWrap/>
              <w:overflowPunct/>
              <w:topLinePunct w:val="0"/>
              <w:autoSpaceDE/>
              <w:autoSpaceDN/>
              <w:bidi w:val="0"/>
              <w:adjustRightInd/>
              <w:snapToGrid/>
              <w:spacing w:line="540" w:lineRule="atLeast"/>
              <w:jc w:val="left"/>
              <w:textAlignment w:val="auto"/>
              <w:rPr>
                <w:rFonts w:hint="eastAsia" w:ascii="仿宋" w:hAnsi="仿宋" w:eastAsia="仿宋" w:cs="仿宋"/>
                <w:b/>
                <w:sz w:val="24"/>
                <w:szCs w:val="24"/>
                <w:highlight w:val="none"/>
              </w:rPr>
            </w:pPr>
          </w:p>
          <w:p w14:paraId="04E555CE">
            <w:pPr>
              <w:pStyle w:val="16"/>
              <w:keepNext w:val="0"/>
              <w:keepLines w:val="0"/>
              <w:pageBreakBefore w:val="0"/>
              <w:kinsoku/>
              <w:wordWrap/>
              <w:overflowPunct/>
              <w:topLinePunct w:val="0"/>
              <w:autoSpaceDE/>
              <w:autoSpaceDN/>
              <w:bidi w:val="0"/>
              <w:adjustRightInd/>
              <w:snapToGrid/>
              <w:spacing w:before="154" w:line="540" w:lineRule="atLeast"/>
              <w:jc w:val="left"/>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绿色办公运营</w:t>
            </w:r>
          </w:p>
        </w:tc>
        <w:tc>
          <w:tcPr>
            <w:tcW w:w="2370" w:type="dxa"/>
          </w:tcPr>
          <w:p w14:paraId="15D306B6">
            <w:pPr>
              <w:pStyle w:val="16"/>
              <w:keepNext w:val="0"/>
              <w:keepLines w:val="0"/>
              <w:pageBreakBefore w:val="0"/>
              <w:kinsoku/>
              <w:wordWrap/>
              <w:overflowPunct/>
              <w:topLinePunct w:val="0"/>
              <w:autoSpaceDE/>
              <w:autoSpaceDN/>
              <w:bidi w:val="0"/>
              <w:adjustRightInd/>
              <w:snapToGrid/>
              <w:spacing w:before="34" w:line="540" w:lineRule="atLeast"/>
              <w:ind w:left="327" w:right="32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办公运营用水量</w:t>
            </w:r>
          </w:p>
        </w:tc>
        <w:tc>
          <w:tcPr>
            <w:tcW w:w="1935" w:type="dxa"/>
          </w:tcPr>
          <w:p w14:paraId="42179FC6">
            <w:pPr>
              <w:pStyle w:val="16"/>
              <w:keepNext w:val="0"/>
              <w:keepLines w:val="0"/>
              <w:pageBreakBefore w:val="0"/>
              <w:kinsoku/>
              <w:wordWrap/>
              <w:overflowPunct/>
              <w:topLinePunct w:val="0"/>
              <w:autoSpaceDE/>
              <w:autoSpaceDN/>
              <w:bidi w:val="0"/>
              <w:adjustRightInd/>
              <w:snapToGrid/>
              <w:spacing w:before="34" w:line="540" w:lineRule="atLeast"/>
              <w:ind w:left="7"/>
              <w:textAlignment w:val="auto"/>
              <w:rPr>
                <w:rFonts w:hint="eastAsia" w:ascii="仿宋" w:hAnsi="仿宋" w:eastAsia="仿宋" w:cs="仿宋"/>
                <w:sz w:val="24"/>
                <w:szCs w:val="24"/>
                <w:highlight w:val="none"/>
              </w:rPr>
            </w:pPr>
            <w:r>
              <w:rPr>
                <w:rFonts w:hint="eastAsia" w:ascii="仿宋" w:hAnsi="仿宋" w:eastAsia="仿宋" w:cs="仿宋"/>
                <w:w w:val="100"/>
                <w:sz w:val="24"/>
                <w:szCs w:val="24"/>
                <w:highlight w:val="none"/>
              </w:rPr>
              <w:t>吨</w:t>
            </w:r>
          </w:p>
        </w:tc>
        <w:tc>
          <w:tcPr>
            <w:tcW w:w="1965" w:type="dxa"/>
            <w:vAlign w:val="top"/>
          </w:tcPr>
          <w:p w14:paraId="00140CB1">
            <w:pPr>
              <w:pStyle w:val="16"/>
              <w:keepNext w:val="0"/>
              <w:keepLines w:val="0"/>
              <w:pageBreakBefore w:val="0"/>
              <w:kinsoku/>
              <w:wordWrap/>
              <w:overflowPunct/>
              <w:topLinePunct w:val="0"/>
              <w:autoSpaceDE/>
              <w:autoSpaceDN/>
              <w:bidi w:val="0"/>
              <w:adjustRightInd/>
              <w:snapToGrid/>
              <w:spacing w:before="47" w:line="540" w:lineRule="atLeast"/>
              <w:ind w:left="327" w:leftChars="0" w:right="316" w:rightChars="0"/>
              <w:textAlignment w:val="auto"/>
              <w:rPr>
                <w:rFonts w:hint="default"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984</w:t>
            </w:r>
          </w:p>
        </w:tc>
      </w:tr>
      <w:tr w14:paraId="28C0CA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7" w:hRule="atLeast"/>
          <w:jc w:val="center"/>
        </w:trPr>
        <w:tc>
          <w:tcPr>
            <w:tcW w:w="1719" w:type="dxa"/>
            <w:vMerge w:val="continue"/>
            <w:tcBorders>
              <w:top w:val="nil"/>
            </w:tcBorders>
          </w:tcPr>
          <w:p w14:paraId="6ED91F71">
            <w:pPr>
              <w:keepNext w:val="0"/>
              <w:keepLines w:val="0"/>
              <w:pageBreakBefore w:val="0"/>
              <w:kinsoku/>
              <w:wordWrap/>
              <w:overflowPunct/>
              <w:topLinePunct w:val="0"/>
              <w:autoSpaceDE/>
              <w:autoSpaceDN/>
              <w:bidi w:val="0"/>
              <w:adjustRightInd/>
              <w:snapToGrid/>
              <w:spacing w:line="540" w:lineRule="atLeast"/>
              <w:textAlignment w:val="auto"/>
              <w:rPr>
                <w:rFonts w:hint="eastAsia" w:ascii="仿宋" w:hAnsi="仿宋" w:eastAsia="仿宋" w:cs="仿宋"/>
                <w:sz w:val="24"/>
                <w:szCs w:val="24"/>
                <w:highlight w:val="none"/>
              </w:rPr>
            </w:pPr>
          </w:p>
        </w:tc>
        <w:tc>
          <w:tcPr>
            <w:tcW w:w="2370" w:type="dxa"/>
          </w:tcPr>
          <w:p w14:paraId="0D63E836">
            <w:pPr>
              <w:pStyle w:val="16"/>
              <w:keepNext w:val="0"/>
              <w:keepLines w:val="0"/>
              <w:pageBreakBefore w:val="0"/>
              <w:kinsoku/>
              <w:wordWrap/>
              <w:overflowPunct/>
              <w:topLinePunct w:val="0"/>
              <w:autoSpaceDE/>
              <w:autoSpaceDN/>
              <w:bidi w:val="0"/>
              <w:adjustRightInd/>
              <w:snapToGrid/>
              <w:spacing w:before="34" w:line="540" w:lineRule="atLeast"/>
              <w:ind w:left="327" w:right="32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办公运营用电量</w:t>
            </w:r>
          </w:p>
        </w:tc>
        <w:tc>
          <w:tcPr>
            <w:tcW w:w="1935" w:type="dxa"/>
          </w:tcPr>
          <w:p w14:paraId="686D2027">
            <w:pPr>
              <w:pStyle w:val="16"/>
              <w:keepNext w:val="0"/>
              <w:keepLines w:val="0"/>
              <w:pageBreakBefore w:val="0"/>
              <w:kinsoku/>
              <w:wordWrap/>
              <w:overflowPunct/>
              <w:topLinePunct w:val="0"/>
              <w:autoSpaceDE/>
              <w:autoSpaceDN/>
              <w:bidi w:val="0"/>
              <w:adjustRightInd/>
              <w:snapToGrid/>
              <w:spacing w:before="34" w:line="540" w:lineRule="atLeast"/>
              <w:ind w:left="327" w:right="317"/>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千瓦/时</w:t>
            </w:r>
          </w:p>
        </w:tc>
        <w:tc>
          <w:tcPr>
            <w:tcW w:w="1965" w:type="dxa"/>
            <w:vAlign w:val="top"/>
          </w:tcPr>
          <w:p w14:paraId="5B2DAF08">
            <w:pPr>
              <w:pStyle w:val="16"/>
              <w:keepNext w:val="0"/>
              <w:keepLines w:val="0"/>
              <w:pageBreakBefore w:val="0"/>
              <w:kinsoku/>
              <w:wordWrap/>
              <w:overflowPunct/>
              <w:topLinePunct w:val="0"/>
              <w:autoSpaceDE/>
              <w:autoSpaceDN/>
              <w:bidi w:val="0"/>
              <w:adjustRightInd/>
              <w:snapToGrid/>
              <w:spacing w:before="47" w:line="540" w:lineRule="atLeast"/>
              <w:ind w:left="327" w:leftChars="0" w:right="318" w:rightChars="0"/>
              <w:textAlignment w:val="auto"/>
              <w:rPr>
                <w:rFonts w:hint="default"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241880</w:t>
            </w:r>
          </w:p>
        </w:tc>
      </w:tr>
      <w:tr w14:paraId="6C6C24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7" w:hRule="atLeast"/>
          <w:jc w:val="center"/>
        </w:trPr>
        <w:tc>
          <w:tcPr>
            <w:tcW w:w="1719" w:type="dxa"/>
            <w:vMerge w:val="continue"/>
            <w:tcBorders>
              <w:top w:val="nil"/>
            </w:tcBorders>
          </w:tcPr>
          <w:p w14:paraId="4DEC97FB">
            <w:pPr>
              <w:keepNext w:val="0"/>
              <w:keepLines w:val="0"/>
              <w:pageBreakBefore w:val="0"/>
              <w:kinsoku/>
              <w:wordWrap/>
              <w:overflowPunct/>
              <w:topLinePunct w:val="0"/>
              <w:autoSpaceDE/>
              <w:autoSpaceDN/>
              <w:bidi w:val="0"/>
              <w:adjustRightInd/>
              <w:snapToGrid/>
              <w:spacing w:line="540" w:lineRule="atLeast"/>
              <w:textAlignment w:val="auto"/>
              <w:rPr>
                <w:rFonts w:hint="eastAsia" w:ascii="仿宋" w:hAnsi="仿宋" w:eastAsia="仿宋" w:cs="仿宋"/>
                <w:sz w:val="24"/>
                <w:szCs w:val="24"/>
                <w:highlight w:val="none"/>
              </w:rPr>
            </w:pPr>
          </w:p>
        </w:tc>
        <w:tc>
          <w:tcPr>
            <w:tcW w:w="2370" w:type="dxa"/>
          </w:tcPr>
          <w:p w14:paraId="40C52ECE">
            <w:pPr>
              <w:pStyle w:val="16"/>
              <w:keepNext w:val="0"/>
              <w:keepLines w:val="0"/>
              <w:pageBreakBefore w:val="0"/>
              <w:kinsoku/>
              <w:wordWrap/>
              <w:overflowPunct/>
              <w:topLinePunct w:val="0"/>
              <w:autoSpaceDE/>
              <w:autoSpaceDN/>
              <w:bidi w:val="0"/>
              <w:adjustRightInd/>
              <w:snapToGrid/>
              <w:spacing w:before="34" w:line="540" w:lineRule="atLeast"/>
              <w:ind w:left="327" w:right="32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办公运营用气量</w:t>
            </w:r>
          </w:p>
        </w:tc>
        <w:tc>
          <w:tcPr>
            <w:tcW w:w="1935" w:type="dxa"/>
          </w:tcPr>
          <w:p w14:paraId="0E861B7A">
            <w:pPr>
              <w:pStyle w:val="16"/>
              <w:keepNext w:val="0"/>
              <w:keepLines w:val="0"/>
              <w:pageBreakBefore w:val="0"/>
              <w:kinsoku/>
              <w:wordWrap/>
              <w:overflowPunct/>
              <w:topLinePunct w:val="0"/>
              <w:autoSpaceDE/>
              <w:autoSpaceDN/>
              <w:bidi w:val="0"/>
              <w:adjustRightInd/>
              <w:snapToGrid/>
              <w:spacing w:before="34" w:line="540" w:lineRule="atLeast"/>
              <w:ind w:left="327" w:right="315"/>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立方</w:t>
            </w:r>
          </w:p>
        </w:tc>
        <w:tc>
          <w:tcPr>
            <w:tcW w:w="1965" w:type="dxa"/>
            <w:shd w:val="clear" w:color="auto" w:fill="auto"/>
            <w:vAlign w:val="top"/>
          </w:tcPr>
          <w:p w14:paraId="676411DC">
            <w:pPr>
              <w:pStyle w:val="16"/>
              <w:keepNext w:val="0"/>
              <w:keepLines w:val="0"/>
              <w:pageBreakBefore w:val="0"/>
              <w:kinsoku/>
              <w:wordWrap/>
              <w:overflowPunct/>
              <w:topLinePunct w:val="0"/>
              <w:autoSpaceDE/>
              <w:autoSpaceDN/>
              <w:bidi w:val="0"/>
              <w:adjustRightInd/>
              <w:snapToGrid/>
              <w:spacing w:before="47" w:line="540" w:lineRule="atLeast"/>
              <w:ind w:left="327" w:leftChars="0" w:right="316" w:rightChars="0"/>
              <w:textAlignment w:val="auto"/>
              <w:rPr>
                <w:rFonts w:hint="default" w:ascii="仿宋" w:hAnsi="仿宋" w:eastAsia="仿宋" w:cs="仿宋"/>
                <w:kern w:val="2"/>
                <w:sz w:val="24"/>
                <w:szCs w:val="24"/>
                <w:highlight w:val="none"/>
                <w:lang w:val="en-US" w:eastAsia="zh-CN" w:bidi="zh-CN"/>
              </w:rPr>
            </w:pPr>
            <w:r>
              <w:rPr>
                <w:rFonts w:hint="eastAsia" w:ascii="仿宋" w:hAnsi="仿宋" w:eastAsia="仿宋" w:cs="仿宋"/>
                <w:sz w:val="24"/>
                <w:szCs w:val="24"/>
                <w:highlight w:val="none"/>
                <w:lang w:val="en-US" w:eastAsia="zh-CN"/>
              </w:rPr>
              <w:t>665.58</w:t>
            </w:r>
          </w:p>
        </w:tc>
      </w:tr>
      <w:tr w14:paraId="18C79B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7" w:hRule="atLeast"/>
          <w:jc w:val="center"/>
        </w:trPr>
        <w:tc>
          <w:tcPr>
            <w:tcW w:w="1719" w:type="dxa"/>
            <w:vMerge w:val="continue"/>
            <w:tcBorders>
              <w:top w:val="nil"/>
            </w:tcBorders>
          </w:tcPr>
          <w:p w14:paraId="00B3AAB9">
            <w:pPr>
              <w:keepNext w:val="0"/>
              <w:keepLines w:val="0"/>
              <w:pageBreakBefore w:val="0"/>
              <w:kinsoku/>
              <w:wordWrap/>
              <w:overflowPunct/>
              <w:topLinePunct w:val="0"/>
              <w:autoSpaceDE/>
              <w:autoSpaceDN/>
              <w:bidi w:val="0"/>
              <w:adjustRightInd/>
              <w:snapToGrid/>
              <w:spacing w:line="540" w:lineRule="atLeast"/>
              <w:textAlignment w:val="auto"/>
              <w:rPr>
                <w:rFonts w:hint="eastAsia" w:ascii="仿宋" w:hAnsi="仿宋" w:eastAsia="仿宋" w:cs="仿宋"/>
                <w:sz w:val="24"/>
                <w:szCs w:val="24"/>
                <w:highlight w:val="none"/>
              </w:rPr>
            </w:pPr>
          </w:p>
        </w:tc>
        <w:tc>
          <w:tcPr>
            <w:tcW w:w="2370" w:type="dxa"/>
          </w:tcPr>
          <w:p w14:paraId="476F3A63">
            <w:pPr>
              <w:pStyle w:val="16"/>
              <w:keepNext w:val="0"/>
              <w:keepLines w:val="0"/>
              <w:pageBreakBefore w:val="0"/>
              <w:kinsoku/>
              <w:wordWrap/>
              <w:overflowPunct/>
              <w:topLinePunct w:val="0"/>
              <w:autoSpaceDE/>
              <w:autoSpaceDN/>
              <w:bidi w:val="0"/>
              <w:adjustRightInd/>
              <w:snapToGrid/>
              <w:spacing w:before="34" w:line="540" w:lineRule="atLeast"/>
              <w:ind w:left="327" w:right="32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办公运营用油量</w:t>
            </w:r>
          </w:p>
        </w:tc>
        <w:tc>
          <w:tcPr>
            <w:tcW w:w="1935" w:type="dxa"/>
          </w:tcPr>
          <w:p w14:paraId="6FEF8522">
            <w:pPr>
              <w:pStyle w:val="16"/>
              <w:keepNext w:val="0"/>
              <w:keepLines w:val="0"/>
              <w:pageBreakBefore w:val="0"/>
              <w:kinsoku/>
              <w:wordWrap/>
              <w:overflowPunct/>
              <w:topLinePunct w:val="0"/>
              <w:autoSpaceDE/>
              <w:autoSpaceDN/>
              <w:bidi w:val="0"/>
              <w:adjustRightInd/>
              <w:snapToGrid/>
              <w:spacing w:before="34" w:line="540" w:lineRule="atLeast"/>
              <w:ind w:left="7"/>
              <w:textAlignment w:val="auto"/>
              <w:rPr>
                <w:rFonts w:hint="eastAsia" w:ascii="仿宋" w:hAnsi="仿宋" w:eastAsia="仿宋" w:cs="仿宋"/>
                <w:sz w:val="24"/>
                <w:szCs w:val="24"/>
                <w:highlight w:val="none"/>
              </w:rPr>
            </w:pPr>
            <w:r>
              <w:rPr>
                <w:rFonts w:hint="eastAsia" w:ascii="仿宋" w:hAnsi="仿宋" w:eastAsia="仿宋" w:cs="仿宋"/>
                <w:w w:val="100"/>
                <w:sz w:val="24"/>
                <w:szCs w:val="24"/>
                <w:highlight w:val="none"/>
              </w:rPr>
              <w:t>升</w:t>
            </w:r>
          </w:p>
        </w:tc>
        <w:tc>
          <w:tcPr>
            <w:tcW w:w="1965" w:type="dxa"/>
            <w:shd w:val="clear" w:color="auto" w:fill="auto"/>
            <w:vAlign w:val="top"/>
          </w:tcPr>
          <w:p w14:paraId="5D475D03">
            <w:pPr>
              <w:pStyle w:val="16"/>
              <w:keepNext w:val="0"/>
              <w:keepLines w:val="0"/>
              <w:pageBreakBefore w:val="0"/>
              <w:kinsoku/>
              <w:wordWrap/>
              <w:overflowPunct/>
              <w:topLinePunct w:val="0"/>
              <w:autoSpaceDE/>
              <w:autoSpaceDN/>
              <w:bidi w:val="0"/>
              <w:adjustRightInd/>
              <w:snapToGrid/>
              <w:spacing w:before="47" w:line="540" w:lineRule="atLeast"/>
              <w:ind w:left="327" w:leftChars="0" w:right="316" w:rightChars="0"/>
              <w:textAlignment w:val="auto"/>
              <w:rPr>
                <w:rFonts w:hint="default" w:ascii="仿宋" w:hAnsi="仿宋" w:eastAsia="仿宋" w:cs="仿宋"/>
                <w:kern w:val="2"/>
                <w:sz w:val="24"/>
                <w:szCs w:val="24"/>
                <w:highlight w:val="none"/>
                <w:lang w:val="en-US" w:eastAsia="zh-CN" w:bidi="zh-CN"/>
              </w:rPr>
            </w:pPr>
            <w:r>
              <w:rPr>
                <w:rFonts w:hint="eastAsia" w:ascii="仿宋" w:hAnsi="仿宋" w:eastAsia="仿宋" w:cs="仿宋"/>
                <w:sz w:val="24"/>
                <w:szCs w:val="24"/>
                <w:highlight w:val="none"/>
                <w:lang w:val="en-US" w:eastAsia="zh-CN"/>
              </w:rPr>
              <w:t>2766</w:t>
            </w:r>
          </w:p>
        </w:tc>
      </w:tr>
      <w:tr w14:paraId="28D314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jc w:val="center"/>
        </w:trPr>
        <w:tc>
          <w:tcPr>
            <w:tcW w:w="1719" w:type="dxa"/>
            <w:vMerge w:val="continue"/>
            <w:tcBorders>
              <w:top w:val="nil"/>
            </w:tcBorders>
          </w:tcPr>
          <w:p w14:paraId="56333C6B">
            <w:pPr>
              <w:keepNext w:val="0"/>
              <w:keepLines w:val="0"/>
              <w:pageBreakBefore w:val="0"/>
              <w:kinsoku/>
              <w:wordWrap/>
              <w:overflowPunct/>
              <w:topLinePunct w:val="0"/>
              <w:autoSpaceDE/>
              <w:autoSpaceDN/>
              <w:bidi w:val="0"/>
              <w:adjustRightInd/>
              <w:snapToGrid/>
              <w:spacing w:line="540" w:lineRule="atLeast"/>
              <w:textAlignment w:val="auto"/>
              <w:rPr>
                <w:rFonts w:hint="eastAsia" w:ascii="仿宋" w:hAnsi="仿宋" w:eastAsia="仿宋" w:cs="仿宋"/>
                <w:sz w:val="24"/>
                <w:szCs w:val="24"/>
                <w:highlight w:val="none"/>
              </w:rPr>
            </w:pPr>
          </w:p>
        </w:tc>
        <w:tc>
          <w:tcPr>
            <w:tcW w:w="2370" w:type="dxa"/>
          </w:tcPr>
          <w:p w14:paraId="30589684">
            <w:pPr>
              <w:pStyle w:val="16"/>
              <w:keepNext w:val="0"/>
              <w:keepLines w:val="0"/>
              <w:pageBreakBefore w:val="0"/>
              <w:kinsoku/>
              <w:wordWrap/>
              <w:overflowPunct/>
              <w:topLinePunct w:val="0"/>
              <w:autoSpaceDE/>
              <w:autoSpaceDN/>
              <w:bidi w:val="0"/>
              <w:adjustRightInd/>
              <w:snapToGrid/>
              <w:spacing w:before="39" w:line="540" w:lineRule="atLeast"/>
              <w:ind w:left="327" w:right="32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办公运营用纸量</w:t>
            </w:r>
          </w:p>
        </w:tc>
        <w:tc>
          <w:tcPr>
            <w:tcW w:w="1935" w:type="dxa"/>
          </w:tcPr>
          <w:p w14:paraId="0D5DCE5C">
            <w:pPr>
              <w:pStyle w:val="16"/>
              <w:keepNext w:val="0"/>
              <w:keepLines w:val="0"/>
              <w:pageBreakBefore w:val="0"/>
              <w:kinsoku/>
              <w:wordWrap/>
              <w:overflowPunct/>
              <w:topLinePunct w:val="0"/>
              <w:autoSpaceDE/>
              <w:autoSpaceDN/>
              <w:bidi w:val="0"/>
              <w:adjustRightInd/>
              <w:snapToGrid/>
              <w:spacing w:before="39" w:line="540" w:lineRule="atLeast"/>
              <w:ind w:left="7"/>
              <w:textAlignment w:val="auto"/>
              <w:rPr>
                <w:rFonts w:hint="eastAsia" w:ascii="仿宋" w:hAnsi="仿宋" w:eastAsia="仿宋" w:cs="仿宋"/>
                <w:sz w:val="24"/>
                <w:szCs w:val="24"/>
                <w:highlight w:val="none"/>
                <w:lang w:eastAsia="zh-CN"/>
              </w:rPr>
            </w:pPr>
            <w:r>
              <w:rPr>
                <w:rFonts w:hint="eastAsia" w:ascii="仿宋" w:hAnsi="仿宋" w:eastAsia="仿宋" w:cs="仿宋"/>
                <w:w w:val="100"/>
                <w:sz w:val="24"/>
                <w:szCs w:val="24"/>
                <w:highlight w:val="none"/>
                <w:lang w:val="en-US" w:eastAsia="zh-CN"/>
              </w:rPr>
              <w:t>箱</w:t>
            </w:r>
          </w:p>
        </w:tc>
        <w:tc>
          <w:tcPr>
            <w:tcW w:w="1965" w:type="dxa"/>
            <w:shd w:val="clear" w:color="auto" w:fill="auto"/>
            <w:vAlign w:val="top"/>
          </w:tcPr>
          <w:p w14:paraId="7EFC447A">
            <w:pPr>
              <w:pStyle w:val="16"/>
              <w:keepNext w:val="0"/>
              <w:keepLines w:val="0"/>
              <w:pageBreakBefore w:val="0"/>
              <w:kinsoku/>
              <w:wordWrap/>
              <w:overflowPunct/>
              <w:topLinePunct w:val="0"/>
              <w:autoSpaceDE/>
              <w:autoSpaceDN/>
              <w:bidi w:val="0"/>
              <w:adjustRightInd/>
              <w:snapToGrid/>
              <w:spacing w:before="52" w:line="540" w:lineRule="atLeast"/>
              <w:ind w:left="7" w:leftChars="0"/>
              <w:textAlignment w:val="auto"/>
              <w:rPr>
                <w:rFonts w:hint="default" w:ascii="仿宋" w:hAnsi="仿宋" w:eastAsia="仿宋" w:cs="仿宋"/>
                <w:kern w:val="2"/>
                <w:sz w:val="24"/>
                <w:szCs w:val="24"/>
                <w:highlight w:val="none"/>
                <w:lang w:val="en-US" w:eastAsia="zh-CN" w:bidi="zh-CN"/>
              </w:rPr>
            </w:pPr>
            <w:r>
              <w:rPr>
                <w:rFonts w:hint="eastAsia" w:ascii="仿宋" w:hAnsi="仿宋" w:eastAsia="仿宋" w:cs="仿宋"/>
                <w:sz w:val="24"/>
                <w:szCs w:val="24"/>
                <w:highlight w:val="none"/>
                <w:lang w:val="en-US" w:eastAsia="zh-CN"/>
              </w:rPr>
              <w:t>144</w:t>
            </w:r>
          </w:p>
        </w:tc>
      </w:tr>
    </w:tbl>
    <w:p w14:paraId="0D22D892">
      <w:pPr>
        <w:pStyle w:val="6"/>
        <w:keepNext w:val="0"/>
        <w:keepLines w:val="0"/>
        <w:pageBreakBefore w:val="0"/>
        <w:widowControl w:val="0"/>
        <w:numPr>
          <w:ilvl w:val="0"/>
          <w:numId w:val="0"/>
        </w:numPr>
        <w:kinsoku/>
        <w:wordWrap/>
        <w:overflowPunct/>
        <w:topLinePunct w:val="0"/>
        <w:autoSpaceDE/>
        <w:autoSpaceDN/>
        <w:bidi w:val="0"/>
        <w:adjustRightInd/>
        <w:snapToGrid/>
        <w:spacing w:before="54" w:line="600" w:lineRule="exact"/>
        <w:ind w:firstLine="643" w:firstLineChars="200"/>
        <w:textAlignment w:val="auto"/>
        <w:rPr>
          <w:rFonts w:hint="eastAsia" w:ascii="仿宋" w:hAnsi="仿宋" w:eastAsia="仿宋" w:cs="仿宋"/>
          <w:b/>
          <w:bCs/>
          <w:sz w:val="32"/>
          <w:szCs w:val="32"/>
          <w:highlight w:val="none"/>
        </w:rPr>
      </w:pPr>
      <w:r>
        <w:rPr>
          <w:rFonts w:hint="eastAsia" w:ascii="仿宋" w:hAnsi="仿宋" w:eastAsia="仿宋" w:cs="仿宋"/>
          <w:b/>
          <w:bCs/>
          <w:sz w:val="32"/>
          <w:szCs w:val="32"/>
          <w:highlight w:val="none"/>
          <w:lang w:val="en-US" w:eastAsia="zh-CN"/>
        </w:rPr>
        <w:t>二、</w:t>
      </w:r>
      <w:r>
        <w:rPr>
          <w:rFonts w:hint="eastAsia" w:ascii="仿宋" w:hAnsi="仿宋" w:eastAsia="仿宋" w:cs="仿宋"/>
          <w:b/>
          <w:bCs/>
          <w:sz w:val="32"/>
          <w:szCs w:val="32"/>
          <w:highlight w:val="none"/>
        </w:rPr>
        <w:t>环境相关治理结构</w:t>
      </w:r>
    </w:p>
    <w:p w14:paraId="26D29BA2">
      <w:pPr>
        <w:pStyle w:val="6"/>
        <w:keepNext w:val="0"/>
        <w:keepLines w:val="0"/>
        <w:pageBreakBefore w:val="0"/>
        <w:widowControl w:val="0"/>
        <w:numPr>
          <w:ilvl w:val="0"/>
          <w:numId w:val="0"/>
        </w:numPr>
        <w:kinsoku/>
        <w:wordWrap/>
        <w:overflowPunct/>
        <w:topLinePunct w:val="0"/>
        <w:autoSpaceDE/>
        <w:autoSpaceDN/>
        <w:bidi w:val="0"/>
        <w:adjustRightInd/>
        <w:snapToGrid/>
        <w:spacing w:before="54" w:line="600" w:lineRule="exact"/>
        <w:ind w:firstLine="616" w:firstLineChars="200"/>
        <w:textAlignment w:val="auto"/>
        <w:rPr>
          <w:rFonts w:hint="eastAsia" w:ascii="仿宋" w:hAnsi="仿宋" w:eastAsia="仿宋" w:cs="仿宋"/>
          <w:b w:val="0"/>
          <w:bCs w:val="0"/>
          <w:sz w:val="32"/>
          <w:szCs w:val="32"/>
          <w:highlight w:val="none"/>
        </w:rPr>
      </w:pPr>
      <w:r>
        <w:rPr>
          <w:rFonts w:hint="eastAsia" w:ascii="仿宋" w:hAnsi="仿宋" w:eastAsia="仿宋" w:cs="仿宋"/>
          <w:b w:val="0"/>
          <w:bCs w:val="0"/>
          <w:spacing w:val="2"/>
          <w:w w:val="95"/>
          <w:sz w:val="32"/>
          <w:szCs w:val="32"/>
          <w:highlight w:val="none"/>
        </w:rPr>
        <w:t>为大力发展绿色金融，根据中国人民银行</w:t>
      </w:r>
      <w:r>
        <w:rPr>
          <w:rFonts w:hint="eastAsia" w:ascii="仿宋" w:hAnsi="仿宋" w:eastAsia="仿宋" w:cs="仿宋"/>
          <w:b w:val="0"/>
          <w:bCs w:val="0"/>
          <w:spacing w:val="2"/>
          <w:w w:val="95"/>
          <w:sz w:val="32"/>
          <w:szCs w:val="32"/>
          <w:highlight w:val="none"/>
          <w:lang w:val="en-US" w:eastAsia="zh-CN"/>
        </w:rPr>
        <w:t>郴州市分行</w:t>
      </w:r>
      <w:r>
        <w:rPr>
          <w:rFonts w:hint="eastAsia" w:ascii="仿宋" w:hAnsi="仿宋" w:eastAsia="仿宋" w:cs="仿宋"/>
          <w:b w:val="0"/>
          <w:bCs w:val="0"/>
          <w:spacing w:val="2"/>
          <w:w w:val="95"/>
          <w:sz w:val="32"/>
          <w:szCs w:val="32"/>
          <w:highlight w:val="none"/>
        </w:rPr>
        <w:t>、</w:t>
      </w:r>
      <w:r>
        <w:rPr>
          <w:rFonts w:hint="eastAsia" w:ascii="仿宋" w:hAnsi="仿宋" w:eastAsia="仿宋" w:cs="仿宋"/>
          <w:b w:val="0"/>
          <w:bCs w:val="0"/>
          <w:spacing w:val="2"/>
          <w:w w:val="95"/>
          <w:sz w:val="32"/>
          <w:szCs w:val="32"/>
          <w:highlight w:val="none"/>
          <w:lang w:val="en-US" w:eastAsia="zh-CN"/>
        </w:rPr>
        <w:t>国家金融监督管理总局郴州监管分局等</w:t>
      </w:r>
      <w:r>
        <w:rPr>
          <w:rFonts w:hint="eastAsia" w:ascii="仿宋" w:hAnsi="仿宋" w:eastAsia="仿宋" w:cs="仿宋"/>
          <w:b w:val="0"/>
          <w:bCs w:val="0"/>
          <w:spacing w:val="-1"/>
          <w:sz w:val="32"/>
          <w:szCs w:val="32"/>
          <w:highlight w:val="none"/>
        </w:rPr>
        <w:t>有关工作要求，搭建了由董事会领导、高级管理层统筹管理、执行部门具体落实的绿色金融三级管理机制，切实管理自身在环境相关</w:t>
      </w:r>
      <w:r>
        <w:rPr>
          <w:rFonts w:hint="eastAsia" w:ascii="仿宋" w:hAnsi="仿宋" w:eastAsia="仿宋" w:cs="仿宋"/>
          <w:b w:val="0"/>
          <w:bCs w:val="0"/>
          <w:spacing w:val="-1"/>
          <w:sz w:val="32"/>
          <w:szCs w:val="32"/>
          <w:highlight w:val="none"/>
          <w:lang w:eastAsia="zh-CN"/>
        </w:rPr>
        <w:t>议案</w:t>
      </w:r>
      <w:r>
        <w:rPr>
          <w:rFonts w:hint="eastAsia" w:ascii="仿宋" w:hAnsi="仿宋" w:eastAsia="仿宋" w:cs="仿宋"/>
          <w:b w:val="0"/>
          <w:bCs w:val="0"/>
          <w:spacing w:val="-1"/>
          <w:sz w:val="32"/>
          <w:szCs w:val="32"/>
          <w:highlight w:val="none"/>
        </w:rPr>
        <w:t>上的风险与机遇，加大绿色信贷业务推动力度，将绿色金融理念贯穿到全行的日常经营中，全面推进环</w:t>
      </w:r>
      <w:r>
        <w:rPr>
          <w:rFonts w:hint="eastAsia" w:ascii="仿宋" w:hAnsi="仿宋" w:eastAsia="仿宋" w:cs="仿宋"/>
          <w:b w:val="0"/>
          <w:bCs w:val="0"/>
          <w:sz w:val="32"/>
          <w:szCs w:val="32"/>
          <w:highlight w:val="none"/>
        </w:rPr>
        <w:t>境信息披露工作。</w:t>
      </w:r>
    </w:p>
    <w:p w14:paraId="09FD3C12">
      <w:pPr>
        <w:pStyle w:val="2"/>
        <w:keepNext w:val="0"/>
        <w:keepLines w:val="0"/>
        <w:pageBreakBefore w:val="0"/>
        <w:kinsoku/>
        <w:wordWrap/>
        <w:overflowPunct/>
        <w:topLinePunct w:val="0"/>
        <w:autoSpaceDE/>
        <w:autoSpaceDN/>
        <w:bidi w:val="0"/>
        <w:adjustRightInd/>
        <w:snapToGrid/>
        <w:spacing w:before="240" w:line="540" w:lineRule="atLeast"/>
        <w:ind w:left="0" w:leftChars="0" w:firstLine="0" w:firstLineChars="0"/>
        <w:jc w:val="center"/>
        <w:textAlignment w:val="auto"/>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drawing>
          <wp:inline distT="0" distB="0" distL="114300" distR="114300">
            <wp:extent cx="5266690" cy="3542030"/>
            <wp:effectExtent l="0" t="0" r="3810" b="1270"/>
            <wp:docPr id="6" name="图片 6" descr="微信图片_20260323092643_1609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微信图片_20260323092643_1609_269"/>
                    <pic:cNvPicPr>
                      <a:picLocks noChangeAspect="1"/>
                    </pic:cNvPicPr>
                  </pic:nvPicPr>
                  <pic:blipFill>
                    <a:blip r:embed="rId6"/>
                    <a:stretch>
                      <a:fillRect/>
                    </a:stretch>
                  </pic:blipFill>
                  <pic:spPr>
                    <a:xfrm>
                      <a:off x="0" y="0"/>
                      <a:ext cx="5266690" cy="3542030"/>
                    </a:xfrm>
                    <a:prstGeom prst="rect">
                      <a:avLst/>
                    </a:prstGeom>
                  </pic:spPr>
                </pic:pic>
              </a:graphicData>
            </a:graphic>
          </wp:inline>
        </w:drawing>
      </w:r>
    </w:p>
    <w:p w14:paraId="3646419F">
      <w:pPr>
        <w:pStyle w:val="2"/>
        <w:keepNext w:val="0"/>
        <w:keepLines w:val="0"/>
        <w:pageBreakBefore w:val="0"/>
        <w:widowControl w:val="0"/>
        <w:numPr>
          <w:ilvl w:val="0"/>
          <w:numId w:val="0"/>
        </w:numPr>
        <w:kinsoku/>
        <w:wordWrap/>
        <w:overflowPunct/>
        <w:topLinePunct w:val="0"/>
        <w:autoSpaceDE/>
        <w:autoSpaceDN/>
        <w:bidi w:val="0"/>
        <w:adjustRightInd/>
        <w:snapToGrid/>
        <w:spacing w:before="240" w:line="600" w:lineRule="exact"/>
        <w:ind w:leftChars="0" w:firstLine="643" w:firstLineChars="200"/>
        <w:textAlignment w:val="auto"/>
        <w:rPr>
          <w:rFonts w:hint="eastAsia" w:ascii="仿宋" w:hAnsi="仿宋" w:eastAsia="仿宋" w:cs="仿宋"/>
          <w:sz w:val="32"/>
          <w:szCs w:val="32"/>
          <w:highlight w:val="none"/>
        </w:rPr>
      </w:pPr>
      <w:r>
        <w:rPr>
          <w:rFonts w:hint="eastAsia" w:ascii="仿宋" w:hAnsi="仿宋" w:eastAsia="仿宋" w:cs="仿宋"/>
          <w:sz w:val="32"/>
          <w:szCs w:val="32"/>
          <w:highlight w:val="none"/>
          <w:lang w:eastAsia="zh-CN"/>
        </w:rPr>
        <w:t>（</w:t>
      </w:r>
      <w:r>
        <w:rPr>
          <w:rFonts w:hint="eastAsia" w:ascii="仿宋" w:hAnsi="仿宋" w:eastAsia="仿宋" w:cs="仿宋"/>
          <w:sz w:val="32"/>
          <w:szCs w:val="32"/>
          <w:highlight w:val="none"/>
          <w:lang w:val="en-US" w:eastAsia="zh-CN"/>
        </w:rPr>
        <w:t>一</w:t>
      </w:r>
      <w:r>
        <w:rPr>
          <w:rFonts w:hint="eastAsia" w:ascii="仿宋" w:hAnsi="仿宋" w:eastAsia="仿宋" w:cs="仿宋"/>
          <w:sz w:val="32"/>
          <w:szCs w:val="32"/>
          <w:highlight w:val="none"/>
          <w:lang w:eastAsia="zh-CN"/>
        </w:rPr>
        <w:t>）</w:t>
      </w:r>
      <w:r>
        <w:rPr>
          <w:rFonts w:hint="eastAsia" w:ascii="仿宋" w:hAnsi="仿宋" w:eastAsia="仿宋" w:cs="仿宋"/>
          <w:sz w:val="32"/>
          <w:szCs w:val="32"/>
          <w:highlight w:val="none"/>
        </w:rPr>
        <w:t>董事会层面</w:t>
      </w:r>
    </w:p>
    <w:p w14:paraId="1BF396E6">
      <w:pPr>
        <w:pStyle w:val="2"/>
        <w:keepNext w:val="0"/>
        <w:keepLines w:val="0"/>
        <w:pageBreakBefore w:val="0"/>
        <w:widowControl w:val="0"/>
        <w:numPr>
          <w:ilvl w:val="0"/>
          <w:numId w:val="0"/>
        </w:numPr>
        <w:kinsoku/>
        <w:wordWrap/>
        <w:overflowPunct/>
        <w:topLinePunct w:val="0"/>
        <w:autoSpaceDE/>
        <w:autoSpaceDN/>
        <w:bidi w:val="0"/>
        <w:adjustRightInd/>
        <w:snapToGrid/>
        <w:spacing w:before="240" w:line="600" w:lineRule="exact"/>
        <w:ind w:leftChars="0" w:firstLine="640" w:firstLineChars="200"/>
        <w:textAlignment w:val="auto"/>
        <w:rPr>
          <w:rFonts w:hint="eastAsia" w:ascii="仿宋" w:hAnsi="仿宋" w:eastAsia="仿宋" w:cs="仿宋"/>
          <w:b w:val="0"/>
          <w:bCs w:val="0"/>
          <w:sz w:val="32"/>
          <w:szCs w:val="32"/>
          <w:highlight w:val="none"/>
          <w:lang w:eastAsia="zh-CN"/>
        </w:rPr>
      </w:pPr>
      <w:r>
        <w:rPr>
          <w:rFonts w:hint="eastAsia" w:ascii="仿宋" w:hAnsi="仿宋" w:eastAsia="仿宋" w:cs="仿宋"/>
          <w:b w:val="0"/>
          <w:bCs w:val="0"/>
          <w:sz w:val="32"/>
          <w:szCs w:val="32"/>
          <w:highlight w:val="none"/>
        </w:rPr>
        <w:t>本行董事会作为最高决策机构，负责确定绿色信贷发展战略，审批高级管理层制定的绿色信贷目标和提交的绿色信贷报告，监督、评估本机构绿色信贷发展战略执行情况，重视发挥本行在促进经济社会全面、协调、可持续发展中的作用，建立与社会共赢的可持续发展模式。</w:t>
      </w:r>
    </w:p>
    <w:p w14:paraId="35C03FE1">
      <w:pPr>
        <w:pStyle w:val="2"/>
        <w:keepNext w:val="0"/>
        <w:keepLines w:val="0"/>
        <w:pageBreakBefore w:val="0"/>
        <w:widowControl w:val="0"/>
        <w:numPr>
          <w:ilvl w:val="0"/>
          <w:numId w:val="0"/>
        </w:numPr>
        <w:kinsoku/>
        <w:wordWrap/>
        <w:overflowPunct/>
        <w:topLinePunct w:val="0"/>
        <w:autoSpaceDE/>
        <w:autoSpaceDN/>
        <w:bidi w:val="0"/>
        <w:adjustRightInd/>
        <w:snapToGrid/>
        <w:spacing w:before="240" w:line="600" w:lineRule="exact"/>
        <w:ind w:leftChars="0" w:firstLine="640" w:firstLineChars="200"/>
        <w:textAlignment w:val="auto"/>
        <w:rPr>
          <w:rFonts w:hint="eastAsia" w:ascii="仿宋" w:hAnsi="仿宋" w:eastAsia="仿宋" w:cs="仿宋"/>
          <w:sz w:val="32"/>
          <w:szCs w:val="32"/>
          <w:highlight w:val="none"/>
          <w:lang w:eastAsia="zh-CN"/>
        </w:rPr>
      </w:pPr>
      <w:r>
        <w:rPr>
          <w:rFonts w:hint="eastAsia" w:ascii="仿宋" w:hAnsi="仿宋" w:eastAsia="仿宋" w:cs="仿宋"/>
          <w:b w:val="0"/>
          <w:bCs w:val="0"/>
          <w:sz w:val="32"/>
          <w:szCs w:val="32"/>
          <w:highlight w:val="none"/>
          <w:lang w:val="en-US" w:eastAsia="zh-CN"/>
        </w:rPr>
        <w:t>（二）</w:t>
      </w:r>
      <w:r>
        <w:rPr>
          <w:rFonts w:hint="eastAsia" w:ascii="仿宋" w:hAnsi="仿宋" w:eastAsia="仿宋" w:cs="仿宋"/>
          <w:sz w:val="32"/>
          <w:szCs w:val="32"/>
          <w:highlight w:val="none"/>
        </w:rPr>
        <w:t>高级管理层层面</w:t>
      </w:r>
    </w:p>
    <w:p w14:paraId="4EAB2803">
      <w:pPr>
        <w:pStyle w:val="2"/>
        <w:keepNext w:val="0"/>
        <w:keepLines w:val="0"/>
        <w:pageBreakBefore w:val="0"/>
        <w:widowControl w:val="0"/>
        <w:numPr>
          <w:ilvl w:val="0"/>
          <w:numId w:val="0"/>
        </w:numPr>
        <w:kinsoku/>
        <w:wordWrap/>
        <w:overflowPunct/>
        <w:topLinePunct w:val="0"/>
        <w:autoSpaceDE/>
        <w:autoSpaceDN/>
        <w:bidi w:val="0"/>
        <w:adjustRightInd/>
        <w:snapToGrid/>
        <w:spacing w:before="240" w:line="600" w:lineRule="exact"/>
        <w:ind w:leftChars="0" w:firstLine="640" w:firstLineChars="200"/>
        <w:jc w:val="left"/>
        <w:textAlignment w:val="auto"/>
        <w:rPr>
          <w:rFonts w:hint="eastAsia" w:ascii="仿宋" w:hAnsi="仿宋" w:eastAsia="仿宋" w:cs="仿宋"/>
          <w:b w:val="0"/>
          <w:bCs w:val="0"/>
          <w:sz w:val="32"/>
          <w:szCs w:val="32"/>
          <w:highlight w:val="none"/>
        </w:rPr>
      </w:pPr>
      <w:r>
        <w:rPr>
          <w:rFonts w:hint="eastAsia" w:ascii="仿宋" w:hAnsi="仿宋" w:eastAsia="仿宋" w:cs="仿宋"/>
          <w:b w:val="0"/>
          <w:bCs w:val="0"/>
          <w:sz w:val="32"/>
          <w:szCs w:val="32"/>
          <w:highlight w:val="none"/>
        </w:rPr>
        <w:t>本行高级管理层负责根据董事会的决定，制定绿色信贷目标、建立绿色信贷管理机制和流程，明确各部门职责和权限；加大绿色信贷投放，促进更多信贷资金投向绿色制造、节能环保、污染防治、清洁能源、绿色农业、新能源、新材料等重点领域，进一步优化</w:t>
      </w:r>
      <w:r>
        <w:rPr>
          <w:rFonts w:hint="eastAsia" w:ascii="仿宋" w:hAnsi="仿宋" w:eastAsia="仿宋" w:cs="仿宋"/>
          <w:b w:val="0"/>
          <w:bCs w:val="0"/>
          <w:sz w:val="32"/>
          <w:szCs w:val="32"/>
          <w:highlight w:val="none"/>
          <w:lang w:eastAsia="zh-CN"/>
        </w:rPr>
        <w:t>本行</w:t>
      </w:r>
      <w:r>
        <w:rPr>
          <w:rFonts w:hint="eastAsia" w:ascii="仿宋" w:hAnsi="仿宋" w:eastAsia="仿宋" w:cs="仿宋"/>
          <w:b w:val="0"/>
          <w:bCs w:val="0"/>
          <w:sz w:val="32"/>
          <w:szCs w:val="32"/>
          <w:highlight w:val="none"/>
        </w:rPr>
        <w:t>资产结构。</w:t>
      </w:r>
    </w:p>
    <w:p w14:paraId="26B7AE64">
      <w:pPr>
        <w:pStyle w:val="2"/>
        <w:keepNext w:val="0"/>
        <w:keepLines w:val="0"/>
        <w:pageBreakBefore w:val="0"/>
        <w:widowControl w:val="0"/>
        <w:numPr>
          <w:ilvl w:val="0"/>
          <w:numId w:val="0"/>
        </w:numPr>
        <w:kinsoku/>
        <w:wordWrap/>
        <w:overflowPunct/>
        <w:topLinePunct w:val="0"/>
        <w:autoSpaceDE/>
        <w:autoSpaceDN/>
        <w:bidi w:val="0"/>
        <w:adjustRightInd/>
        <w:snapToGrid/>
        <w:spacing w:line="600" w:lineRule="exact"/>
        <w:ind w:leftChars="0" w:firstLine="611" w:firstLineChars="200"/>
        <w:textAlignment w:val="auto"/>
        <w:rPr>
          <w:rFonts w:hint="eastAsia" w:ascii="仿宋" w:hAnsi="仿宋" w:eastAsia="仿宋" w:cs="仿宋"/>
          <w:w w:val="95"/>
          <w:sz w:val="32"/>
          <w:szCs w:val="32"/>
          <w:highlight w:val="none"/>
        </w:rPr>
      </w:pPr>
      <w:r>
        <w:rPr>
          <w:rFonts w:hint="eastAsia" w:ascii="仿宋" w:hAnsi="仿宋" w:eastAsia="仿宋" w:cs="仿宋"/>
          <w:w w:val="95"/>
          <w:sz w:val="32"/>
          <w:szCs w:val="32"/>
          <w:highlight w:val="none"/>
          <w:lang w:eastAsia="zh-CN"/>
        </w:rPr>
        <w:t>（三）</w:t>
      </w:r>
      <w:r>
        <w:rPr>
          <w:rFonts w:hint="eastAsia" w:ascii="仿宋" w:hAnsi="仿宋" w:eastAsia="仿宋" w:cs="仿宋"/>
          <w:w w:val="95"/>
          <w:sz w:val="32"/>
          <w:szCs w:val="32"/>
          <w:highlight w:val="none"/>
          <w:lang w:val="en-US" w:eastAsia="zh-CN"/>
        </w:rPr>
        <w:t>专业部门层面</w:t>
      </w:r>
    </w:p>
    <w:p w14:paraId="39F45F13">
      <w:pPr>
        <w:pStyle w:val="2"/>
        <w:keepNext w:val="0"/>
        <w:keepLines w:val="0"/>
        <w:pageBreakBefore w:val="0"/>
        <w:widowControl w:val="0"/>
        <w:numPr>
          <w:ilvl w:val="0"/>
          <w:numId w:val="0"/>
        </w:numPr>
        <w:kinsoku/>
        <w:wordWrap/>
        <w:overflowPunct/>
        <w:topLinePunct w:val="0"/>
        <w:autoSpaceDE/>
        <w:autoSpaceDN/>
        <w:bidi w:val="0"/>
        <w:adjustRightInd/>
        <w:snapToGrid/>
        <w:spacing w:line="600" w:lineRule="exact"/>
        <w:ind w:leftChars="0" w:firstLine="616" w:firstLineChars="200"/>
        <w:textAlignment w:val="auto"/>
        <w:rPr>
          <w:rFonts w:hint="eastAsia" w:ascii="仿宋" w:hAnsi="仿宋" w:eastAsia="仿宋" w:cs="仿宋"/>
          <w:b w:val="0"/>
          <w:bCs w:val="0"/>
          <w:sz w:val="32"/>
          <w:szCs w:val="32"/>
          <w:highlight w:val="none"/>
        </w:rPr>
      </w:pPr>
      <w:r>
        <w:rPr>
          <w:rFonts w:hint="eastAsia" w:ascii="仿宋" w:hAnsi="仿宋" w:eastAsia="仿宋" w:cs="仿宋"/>
          <w:b w:val="0"/>
          <w:bCs w:val="0"/>
          <w:spacing w:val="2"/>
          <w:w w:val="95"/>
          <w:sz w:val="32"/>
          <w:szCs w:val="32"/>
          <w:highlight w:val="none"/>
        </w:rPr>
        <w:t xml:space="preserve">在董事会和高级管理层的领导下，本行积极探索绿色金融 </w:t>
      </w:r>
      <w:r>
        <w:rPr>
          <w:rFonts w:hint="eastAsia" w:ascii="仿宋" w:hAnsi="仿宋" w:eastAsia="仿宋" w:cs="仿宋"/>
          <w:b w:val="0"/>
          <w:bCs w:val="0"/>
          <w:spacing w:val="-1"/>
          <w:sz w:val="32"/>
          <w:szCs w:val="32"/>
          <w:highlight w:val="none"/>
        </w:rPr>
        <w:t>业务发展途径，努力提升绿色金融服务水平，不断强化各执行</w:t>
      </w:r>
      <w:r>
        <w:rPr>
          <w:rFonts w:hint="eastAsia" w:ascii="仿宋" w:hAnsi="仿宋" w:eastAsia="仿宋" w:cs="仿宋"/>
          <w:b w:val="0"/>
          <w:bCs w:val="0"/>
          <w:sz w:val="32"/>
          <w:szCs w:val="32"/>
          <w:highlight w:val="none"/>
        </w:rPr>
        <w:t>部门贯彻落实相关工作。</w:t>
      </w:r>
    </w:p>
    <w:p w14:paraId="7B9C4265">
      <w:pPr>
        <w:pStyle w:val="6"/>
        <w:keepNext w:val="0"/>
        <w:keepLines w:val="0"/>
        <w:pageBreakBefore w:val="0"/>
        <w:widowControl w:val="0"/>
        <w:numPr>
          <w:ilvl w:val="0"/>
          <w:numId w:val="0"/>
        </w:numPr>
        <w:kinsoku/>
        <w:wordWrap/>
        <w:overflowPunct/>
        <w:topLinePunct w:val="0"/>
        <w:autoSpaceDE/>
        <w:autoSpaceDN/>
        <w:bidi w:val="0"/>
        <w:adjustRightInd/>
        <w:snapToGrid/>
        <w:spacing w:before="54" w:line="600" w:lineRule="exact"/>
        <w:ind w:firstLine="643" w:firstLineChars="200"/>
        <w:textAlignment w:val="auto"/>
        <w:rPr>
          <w:rFonts w:hint="eastAsia" w:ascii="仿宋" w:hAnsi="仿宋" w:eastAsia="仿宋" w:cs="仿宋"/>
          <w:sz w:val="32"/>
          <w:szCs w:val="32"/>
          <w:highlight w:val="none"/>
          <w:lang w:val="en-US" w:eastAsia="zh-CN"/>
        </w:rPr>
      </w:pPr>
      <w:r>
        <w:rPr>
          <w:rFonts w:hint="eastAsia" w:ascii="仿宋" w:hAnsi="仿宋" w:eastAsia="仿宋" w:cs="仿宋"/>
          <w:b/>
          <w:bCs/>
          <w:sz w:val="32"/>
          <w:szCs w:val="32"/>
          <w:highlight w:val="none"/>
          <w:lang w:val="en-US" w:eastAsia="zh-CN"/>
        </w:rPr>
        <w:t>绿色金融业务部门：</w:t>
      </w:r>
      <w:r>
        <w:rPr>
          <w:rFonts w:hint="eastAsia" w:ascii="仿宋" w:hAnsi="仿宋" w:eastAsia="仿宋" w:cs="仿宋"/>
          <w:b w:val="0"/>
          <w:bCs w:val="0"/>
          <w:sz w:val="32"/>
          <w:szCs w:val="32"/>
          <w:highlight w:val="none"/>
          <w:lang w:val="en-US" w:eastAsia="zh-CN"/>
        </w:rPr>
        <w:t>本行已指定业务发展部作为绿色金融业务部门。</w:t>
      </w:r>
      <w:r>
        <w:rPr>
          <w:rFonts w:hint="eastAsia" w:ascii="仿宋" w:hAnsi="仿宋" w:eastAsia="仿宋" w:cs="仿宋"/>
          <w:sz w:val="32"/>
          <w:szCs w:val="32"/>
          <w:highlight w:val="none"/>
          <w:lang w:val="en-US" w:eastAsia="zh-CN"/>
        </w:rPr>
        <w:t>负责全行绿色金融业务的统筹规划和协调运作、产品创新、营销推动等具体事项的统筹、协调、联动。</w:t>
      </w:r>
    </w:p>
    <w:p w14:paraId="2792A16E">
      <w:pPr>
        <w:pStyle w:val="6"/>
        <w:keepNext w:val="0"/>
        <w:keepLines w:val="0"/>
        <w:pageBreakBefore w:val="0"/>
        <w:widowControl w:val="0"/>
        <w:numPr>
          <w:ilvl w:val="0"/>
          <w:numId w:val="0"/>
        </w:numPr>
        <w:kinsoku/>
        <w:wordWrap/>
        <w:overflowPunct/>
        <w:topLinePunct w:val="0"/>
        <w:autoSpaceDE/>
        <w:autoSpaceDN/>
        <w:bidi w:val="0"/>
        <w:adjustRightInd/>
        <w:snapToGrid/>
        <w:spacing w:before="54" w:line="600" w:lineRule="exact"/>
        <w:ind w:firstLine="643" w:firstLineChars="200"/>
        <w:textAlignment w:val="auto"/>
        <w:rPr>
          <w:rFonts w:hint="eastAsia" w:ascii="仿宋" w:hAnsi="仿宋" w:eastAsia="仿宋" w:cs="仿宋"/>
          <w:sz w:val="32"/>
          <w:szCs w:val="32"/>
          <w:highlight w:val="none"/>
          <w:lang w:val="en-US" w:eastAsia="zh-CN"/>
        </w:rPr>
      </w:pPr>
      <w:r>
        <w:rPr>
          <w:rFonts w:hint="eastAsia" w:ascii="仿宋" w:hAnsi="仿宋" w:eastAsia="仿宋" w:cs="仿宋"/>
          <w:b/>
          <w:bCs/>
          <w:sz w:val="32"/>
          <w:szCs w:val="32"/>
          <w:highlight w:val="none"/>
          <w:lang w:val="en-US" w:eastAsia="zh-CN"/>
        </w:rPr>
        <w:t>风险合规部：</w:t>
      </w:r>
      <w:r>
        <w:rPr>
          <w:rFonts w:hint="eastAsia" w:ascii="仿宋" w:hAnsi="仿宋" w:eastAsia="仿宋" w:cs="仿宋"/>
          <w:b w:val="0"/>
          <w:bCs w:val="0"/>
          <w:sz w:val="32"/>
          <w:szCs w:val="32"/>
          <w:highlight w:val="none"/>
          <w:lang w:val="en-US" w:eastAsia="zh-CN"/>
        </w:rPr>
        <w:t>负责</w:t>
      </w:r>
      <w:r>
        <w:rPr>
          <w:rFonts w:hint="eastAsia" w:ascii="仿宋" w:hAnsi="仿宋" w:eastAsia="仿宋" w:cs="仿宋"/>
          <w:sz w:val="32"/>
          <w:szCs w:val="32"/>
          <w:highlight w:val="none"/>
          <w:lang w:val="en-US" w:eastAsia="zh-CN"/>
        </w:rPr>
        <w:t>制定全行绿色信贷支持方向、环境和社会风险相关的授信政策、制度、流程，推进绿色领域的行业调研分析等。</w:t>
      </w:r>
    </w:p>
    <w:p w14:paraId="22472F17">
      <w:pPr>
        <w:pStyle w:val="6"/>
        <w:keepNext w:val="0"/>
        <w:keepLines w:val="0"/>
        <w:pageBreakBefore w:val="0"/>
        <w:widowControl w:val="0"/>
        <w:numPr>
          <w:ilvl w:val="0"/>
          <w:numId w:val="0"/>
        </w:numPr>
        <w:kinsoku/>
        <w:wordWrap/>
        <w:overflowPunct/>
        <w:topLinePunct w:val="0"/>
        <w:autoSpaceDE/>
        <w:autoSpaceDN/>
        <w:bidi w:val="0"/>
        <w:adjustRightInd/>
        <w:snapToGrid/>
        <w:spacing w:before="54" w:line="600" w:lineRule="exact"/>
        <w:ind w:firstLine="643" w:firstLineChars="200"/>
        <w:textAlignment w:val="auto"/>
        <w:rPr>
          <w:rFonts w:hint="eastAsia" w:ascii="仿宋" w:hAnsi="仿宋" w:eastAsia="仿宋" w:cs="仿宋"/>
          <w:spacing w:val="-6"/>
          <w:sz w:val="32"/>
          <w:szCs w:val="32"/>
          <w:highlight w:val="none"/>
          <w:lang w:eastAsia="zh-CN"/>
        </w:rPr>
      </w:pPr>
      <w:r>
        <w:rPr>
          <w:rFonts w:hint="eastAsia" w:ascii="仿宋" w:hAnsi="仿宋" w:eastAsia="仿宋" w:cs="仿宋"/>
          <w:b/>
          <w:bCs/>
          <w:sz w:val="32"/>
          <w:szCs w:val="32"/>
          <w:highlight w:val="none"/>
          <w:lang w:val="en-US" w:eastAsia="zh-CN"/>
        </w:rPr>
        <w:t>办公室：</w:t>
      </w:r>
      <w:r>
        <w:rPr>
          <w:rFonts w:hint="eastAsia" w:ascii="仿宋" w:hAnsi="仿宋" w:eastAsia="仿宋" w:cs="仿宋"/>
          <w:sz w:val="32"/>
          <w:szCs w:val="32"/>
          <w:highlight w:val="none"/>
          <w:lang w:val="en-US" w:eastAsia="zh-CN"/>
        </w:rPr>
        <w:t>负责统筹绿色运营工作，大力宣导绿色低碳理念，推动绿色低碳发展，在全行建立低碳办公、低碳出行、节能改造、绿色采购等机制，且</w:t>
      </w:r>
      <w:r>
        <w:rPr>
          <w:rFonts w:hint="eastAsia" w:ascii="仿宋" w:hAnsi="仿宋" w:eastAsia="仿宋" w:cs="仿宋"/>
          <w:spacing w:val="-6"/>
          <w:sz w:val="32"/>
          <w:szCs w:val="32"/>
          <w:highlight w:val="none"/>
        </w:rPr>
        <w:t>负责</w:t>
      </w:r>
      <w:r>
        <w:rPr>
          <w:rFonts w:hint="eastAsia" w:ascii="仿宋" w:hAnsi="仿宋" w:eastAsia="仿宋" w:cs="仿宋"/>
          <w:spacing w:val="-6"/>
          <w:sz w:val="32"/>
          <w:szCs w:val="32"/>
          <w:highlight w:val="none"/>
          <w:lang w:eastAsia="zh-CN"/>
        </w:rPr>
        <w:t>相关财务类的</w:t>
      </w:r>
      <w:r>
        <w:rPr>
          <w:rFonts w:hint="eastAsia" w:ascii="仿宋" w:hAnsi="仿宋" w:eastAsia="仿宋" w:cs="仿宋"/>
          <w:spacing w:val="-6"/>
          <w:sz w:val="32"/>
          <w:szCs w:val="32"/>
          <w:highlight w:val="none"/>
        </w:rPr>
        <w:t>相关具体工作</w:t>
      </w:r>
      <w:r>
        <w:rPr>
          <w:rFonts w:hint="eastAsia" w:ascii="仿宋" w:hAnsi="仿宋" w:eastAsia="仿宋" w:cs="仿宋"/>
          <w:spacing w:val="-6"/>
          <w:sz w:val="32"/>
          <w:szCs w:val="32"/>
          <w:highlight w:val="none"/>
          <w:lang w:eastAsia="zh-CN"/>
        </w:rPr>
        <w:t>。</w:t>
      </w:r>
    </w:p>
    <w:p w14:paraId="66FDED4C">
      <w:pPr>
        <w:pStyle w:val="6"/>
        <w:keepNext w:val="0"/>
        <w:keepLines w:val="0"/>
        <w:pageBreakBefore w:val="0"/>
        <w:widowControl w:val="0"/>
        <w:numPr>
          <w:ilvl w:val="0"/>
          <w:numId w:val="0"/>
        </w:numPr>
        <w:kinsoku/>
        <w:wordWrap/>
        <w:overflowPunct/>
        <w:topLinePunct w:val="0"/>
        <w:autoSpaceDE/>
        <w:autoSpaceDN/>
        <w:bidi w:val="0"/>
        <w:adjustRightInd/>
        <w:snapToGrid/>
        <w:spacing w:before="54" w:line="600" w:lineRule="exact"/>
        <w:ind w:firstLine="643" w:firstLineChars="200"/>
        <w:textAlignment w:val="auto"/>
        <w:rPr>
          <w:rFonts w:hint="eastAsia" w:ascii="仿宋" w:hAnsi="仿宋" w:eastAsia="仿宋" w:cs="仿宋"/>
          <w:sz w:val="32"/>
          <w:szCs w:val="32"/>
          <w:highlight w:val="none"/>
          <w:lang w:val="en-US" w:eastAsia="zh-CN"/>
        </w:rPr>
      </w:pPr>
      <w:r>
        <w:rPr>
          <w:rFonts w:hint="eastAsia" w:ascii="仿宋" w:hAnsi="仿宋" w:eastAsia="仿宋" w:cs="仿宋"/>
          <w:b/>
          <w:bCs/>
          <w:sz w:val="32"/>
          <w:szCs w:val="32"/>
          <w:highlight w:val="none"/>
          <w:lang w:val="en-US" w:eastAsia="zh-CN"/>
        </w:rPr>
        <w:t>三、环境相关政策制度</w:t>
      </w:r>
    </w:p>
    <w:p w14:paraId="65C21BC2">
      <w:pPr>
        <w:pStyle w:val="6"/>
        <w:keepNext w:val="0"/>
        <w:keepLines w:val="0"/>
        <w:pageBreakBefore w:val="0"/>
        <w:widowControl w:val="0"/>
        <w:numPr>
          <w:ilvl w:val="0"/>
          <w:numId w:val="0"/>
        </w:numPr>
        <w:kinsoku/>
        <w:wordWrap/>
        <w:overflowPunct/>
        <w:topLinePunct w:val="0"/>
        <w:autoSpaceDE/>
        <w:autoSpaceDN/>
        <w:bidi w:val="0"/>
        <w:adjustRightInd/>
        <w:snapToGrid/>
        <w:spacing w:before="54" w:line="600" w:lineRule="exact"/>
        <w:ind w:firstLine="643" w:firstLineChars="200"/>
        <w:textAlignment w:val="auto"/>
        <w:rPr>
          <w:rFonts w:hint="eastAsia" w:ascii="仿宋" w:hAnsi="仿宋" w:eastAsia="仿宋" w:cs="仿宋"/>
          <w:b/>
          <w:bCs/>
          <w:sz w:val="32"/>
          <w:szCs w:val="32"/>
          <w:highlight w:val="none"/>
          <w:lang w:val="en-US" w:eastAsia="zh-CN"/>
        </w:rPr>
      </w:pPr>
      <w:r>
        <w:rPr>
          <w:rFonts w:hint="eastAsia" w:ascii="仿宋" w:hAnsi="仿宋" w:eastAsia="仿宋" w:cs="仿宋"/>
          <w:b/>
          <w:bCs/>
          <w:sz w:val="32"/>
          <w:szCs w:val="32"/>
          <w:highlight w:val="none"/>
          <w:lang w:val="en-US" w:eastAsia="zh-CN"/>
        </w:rPr>
        <w:t>（一）外部政策制度</w:t>
      </w:r>
    </w:p>
    <w:p w14:paraId="653A6C79">
      <w:pPr>
        <w:pStyle w:val="6"/>
        <w:keepNext w:val="0"/>
        <w:keepLines w:val="0"/>
        <w:pageBreakBefore w:val="0"/>
        <w:widowControl w:val="0"/>
        <w:numPr>
          <w:ilvl w:val="0"/>
          <w:numId w:val="0"/>
        </w:numPr>
        <w:kinsoku/>
        <w:wordWrap/>
        <w:overflowPunct/>
        <w:topLinePunct w:val="0"/>
        <w:autoSpaceDE/>
        <w:autoSpaceDN/>
        <w:bidi w:val="0"/>
        <w:adjustRightInd/>
        <w:snapToGrid/>
        <w:spacing w:before="54" w:line="600" w:lineRule="exact"/>
        <w:ind w:firstLine="640" w:firstLineChars="200"/>
        <w:textAlignment w:val="auto"/>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2013年，中国金融监管机构开始建立行业统一的绿色标准和统计制度，银保监会制定了《绿色信贷统计制度》，并组织主要银行开展绿色信贷自评价；</w:t>
      </w:r>
    </w:p>
    <w:p w14:paraId="44BB7CA3">
      <w:pPr>
        <w:pStyle w:val="6"/>
        <w:keepNext w:val="0"/>
        <w:keepLines w:val="0"/>
        <w:pageBreakBefore w:val="0"/>
        <w:widowControl w:val="0"/>
        <w:numPr>
          <w:ilvl w:val="0"/>
          <w:numId w:val="0"/>
        </w:numPr>
        <w:kinsoku/>
        <w:wordWrap/>
        <w:overflowPunct/>
        <w:topLinePunct w:val="0"/>
        <w:autoSpaceDE/>
        <w:autoSpaceDN/>
        <w:bidi w:val="0"/>
        <w:adjustRightInd/>
        <w:snapToGrid/>
        <w:spacing w:before="54" w:line="600" w:lineRule="exact"/>
        <w:ind w:firstLine="640" w:firstLineChars="200"/>
        <w:textAlignment w:val="auto"/>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2015年，中国人民银行、国家发展和改革委员会发布了绿色金融债和绿色企业债支持项目的目录和范围；</w:t>
      </w:r>
    </w:p>
    <w:p w14:paraId="76FF635D">
      <w:pPr>
        <w:pStyle w:val="6"/>
        <w:keepNext w:val="0"/>
        <w:keepLines w:val="0"/>
        <w:pageBreakBefore w:val="0"/>
        <w:widowControl w:val="0"/>
        <w:numPr>
          <w:ilvl w:val="0"/>
          <w:numId w:val="0"/>
        </w:numPr>
        <w:kinsoku/>
        <w:wordWrap/>
        <w:overflowPunct/>
        <w:topLinePunct w:val="0"/>
        <w:autoSpaceDE/>
        <w:autoSpaceDN/>
        <w:bidi w:val="0"/>
        <w:adjustRightInd/>
        <w:snapToGrid/>
        <w:spacing w:before="54" w:line="600" w:lineRule="exact"/>
        <w:ind w:firstLine="640" w:firstLineChars="200"/>
        <w:textAlignment w:val="auto"/>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 xml:space="preserve">2016年，中国人民银行等七部委联合发布了全球首个国家层面的绿色金融政策——《关于构建绿色金融体系的指导意 见》，其中明确提到了要逐步建立和完善信息披露制度；   </w:t>
      </w:r>
    </w:p>
    <w:p w14:paraId="669855D5">
      <w:pPr>
        <w:pStyle w:val="6"/>
        <w:keepNext w:val="0"/>
        <w:keepLines w:val="0"/>
        <w:pageBreakBefore w:val="0"/>
        <w:widowControl w:val="0"/>
        <w:numPr>
          <w:ilvl w:val="0"/>
          <w:numId w:val="0"/>
        </w:numPr>
        <w:kinsoku/>
        <w:wordWrap/>
        <w:overflowPunct/>
        <w:topLinePunct w:val="0"/>
        <w:autoSpaceDE/>
        <w:autoSpaceDN/>
        <w:bidi w:val="0"/>
        <w:adjustRightInd/>
        <w:snapToGrid/>
        <w:spacing w:before="54" w:line="600" w:lineRule="exact"/>
        <w:ind w:firstLine="640" w:firstLineChars="200"/>
        <w:textAlignment w:val="auto"/>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2019年，国家发展和改革委员会、中国人民银行等七部委联合发布了《绿色产业指导目录》，明确“绿色产业”的定义与范围；</w:t>
      </w:r>
    </w:p>
    <w:p w14:paraId="5B16031E">
      <w:pPr>
        <w:pStyle w:val="6"/>
        <w:keepNext w:val="0"/>
        <w:keepLines w:val="0"/>
        <w:pageBreakBefore w:val="0"/>
        <w:widowControl w:val="0"/>
        <w:numPr>
          <w:ilvl w:val="0"/>
          <w:numId w:val="0"/>
        </w:numPr>
        <w:kinsoku/>
        <w:wordWrap/>
        <w:overflowPunct/>
        <w:topLinePunct w:val="0"/>
        <w:autoSpaceDE/>
        <w:autoSpaceDN/>
        <w:bidi w:val="0"/>
        <w:adjustRightInd/>
        <w:snapToGrid/>
        <w:spacing w:before="54" w:line="600" w:lineRule="exact"/>
        <w:ind w:firstLine="640" w:firstLineChars="200"/>
        <w:textAlignment w:val="auto"/>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2023年，中国人民银行下发了《金融机构环境信息披露指南》，对年度环境信息披露报告进一步提出了规范性要求。以上政策为实现环境信息的披露奠定了基础。</w:t>
      </w:r>
    </w:p>
    <w:p w14:paraId="5599A1BF">
      <w:pPr>
        <w:pStyle w:val="6"/>
        <w:keepNext w:val="0"/>
        <w:keepLines w:val="0"/>
        <w:pageBreakBefore w:val="0"/>
        <w:widowControl w:val="0"/>
        <w:numPr>
          <w:ilvl w:val="0"/>
          <w:numId w:val="0"/>
        </w:numPr>
        <w:kinsoku/>
        <w:wordWrap/>
        <w:overflowPunct/>
        <w:topLinePunct w:val="0"/>
        <w:autoSpaceDE/>
        <w:autoSpaceDN/>
        <w:bidi w:val="0"/>
        <w:adjustRightInd/>
        <w:snapToGrid/>
        <w:spacing w:before="54" w:line="600" w:lineRule="exact"/>
        <w:ind w:firstLine="640" w:firstLineChars="200"/>
        <w:textAlignment w:val="auto"/>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2023年，中国人民银行郴州市分行下发了</w:t>
      </w:r>
      <w:r>
        <w:rPr>
          <w:rFonts w:hint="eastAsia" w:ascii="仿宋" w:hAnsi="仿宋" w:eastAsia="仿宋" w:cs="仿宋"/>
          <w:w w:val="95"/>
          <w:sz w:val="32"/>
          <w:szCs w:val="32"/>
          <w:highlight w:val="none"/>
          <w:lang w:eastAsia="zh-CN"/>
        </w:rPr>
        <w:t>《中国人民银行郴州市中心支行办公室关于印发郴州市地方法人金融机构环境信息披露工作方案的通知》</w:t>
      </w:r>
      <w:r>
        <w:rPr>
          <w:rFonts w:hint="eastAsia" w:ascii="仿宋" w:hAnsi="仿宋" w:eastAsia="仿宋" w:cs="仿宋"/>
          <w:w w:val="95"/>
          <w:sz w:val="32"/>
          <w:szCs w:val="32"/>
          <w:highlight w:val="none"/>
          <w:lang w:val="en-US" w:eastAsia="zh-CN"/>
        </w:rPr>
        <w:t>（郴银办〔2023〕3号），进一步提升了郴州市地方法人金融机构环境信息披露能力与质量，助推郴州市绿色金融高质量发展。</w:t>
      </w:r>
    </w:p>
    <w:p w14:paraId="137C29F2">
      <w:pPr>
        <w:pStyle w:val="6"/>
        <w:keepNext w:val="0"/>
        <w:keepLines w:val="0"/>
        <w:pageBreakBefore w:val="0"/>
        <w:widowControl w:val="0"/>
        <w:numPr>
          <w:ilvl w:val="0"/>
          <w:numId w:val="0"/>
        </w:numPr>
        <w:kinsoku/>
        <w:wordWrap/>
        <w:overflowPunct/>
        <w:topLinePunct w:val="0"/>
        <w:autoSpaceDE/>
        <w:autoSpaceDN/>
        <w:bidi w:val="0"/>
        <w:adjustRightInd/>
        <w:snapToGrid/>
        <w:spacing w:before="54" w:line="600" w:lineRule="exact"/>
        <w:ind w:firstLine="643" w:firstLineChars="200"/>
        <w:textAlignment w:val="auto"/>
        <w:rPr>
          <w:rFonts w:hint="eastAsia" w:ascii="仿宋" w:hAnsi="仿宋" w:eastAsia="仿宋" w:cs="仿宋"/>
          <w:b/>
          <w:bCs/>
          <w:sz w:val="32"/>
          <w:szCs w:val="32"/>
          <w:highlight w:val="none"/>
          <w:lang w:val="en-US" w:eastAsia="zh-CN"/>
        </w:rPr>
      </w:pPr>
      <w:r>
        <w:rPr>
          <w:rFonts w:hint="eastAsia" w:ascii="仿宋" w:hAnsi="仿宋" w:eastAsia="仿宋" w:cs="仿宋"/>
          <w:b/>
          <w:bCs/>
          <w:sz w:val="32"/>
          <w:szCs w:val="32"/>
          <w:highlight w:val="none"/>
          <w:lang w:val="en-US" w:eastAsia="zh-CN"/>
        </w:rPr>
        <w:t>（二）内部政策制度</w:t>
      </w:r>
    </w:p>
    <w:p w14:paraId="33FFE238">
      <w:pPr>
        <w:pStyle w:val="6"/>
        <w:keepNext w:val="0"/>
        <w:keepLines w:val="0"/>
        <w:pageBreakBefore w:val="0"/>
        <w:widowControl w:val="0"/>
        <w:numPr>
          <w:ilvl w:val="0"/>
          <w:numId w:val="0"/>
        </w:numPr>
        <w:kinsoku/>
        <w:wordWrap/>
        <w:overflowPunct/>
        <w:topLinePunct w:val="0"/>
        <w:autoSpaceDE/>
        <w:autoSpaceDN/>
        <w:bidi w:val="0"/>
        <w:adjustRightInd/>
        <w:snapToGrid/>
        <w:spacing w:before="54" w:line="600" w:lineRule="exact"/>
        <w:ind w:firstLine="640" w:firstLineChars="200"/>
        <w:textAlignment w:val="auto"/>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本行始终紧紧围绕国家完善绿色金融服务体系要求，从信贷投向指引、绿色运营、风险管控等方面发展绿色金融。</w:t>
      </w:r>
    </w:p>
    <w:p w14:paraId="26ECB46F">
      <w:pPr>
        <w:pStyle w:val="6"/>
        <w:keepNext w:val="0"/>
        <w:keepLines w:val="0"/>
        <w:pageBreakBefore w:val="0"/>
        <w:widowControl w:val="0"/>
        <w:numPr>
          <w:ilvl w:val="0"/>
          <w:numId w:val="0"/>
        </w:numPr>
        <w:kinsoku/>
        <w:wordWrap/>
        <w:overflowPunct/>
        <w:topLinePunct w:val="0"/>
        <w:autoSpaceDE/>
        <w:autoSpaceDN/>
        <w:bidi w:val="0"/>
        <w:adjustRightInd/>
        <w:snapToGrid/>
        <w:spacing w:before="54" w:line="600" w:lineRule="exact"/>
        <w:ind w:firstLine="640" w:firstLineChars="200"/>
        <w:textAlignment w:val="auto"/>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本行出台《桂阳沪农商村镇银行2025年基本授信政策指引》，聚焦绿色金融、普惠金融、乡村振兴，加大绿色信贷有效投放。坚持绿色金融，加大制造业支持力度，积极支持培育新动能、符合供给侧结构性改革方向的现代农业、居民消费产业、制造业转型升级、现代服务业的信贷投放。重点对水电、光伏、乡村旅游、清洁能源建设、农田水利、生态农业等绿色行业进行信贷支持。顺应乡村振兴、新型城镇化、城乡融合发展趋势，进一步加强村行传统优势，深化三农金融服务，大力支持乡村振兴。</w:t>
      </w:r>
      <w:r>
        <w:rPr>
          <w:rFonts w:hint="eastAsia" w:ascii="仿宋" w:hAnsi="仿宋" w:eastAsia="仿宋" w:cs="仿宋"/>
          <w:sz w:val="32"/>
          <w:szCs w:val="32"/>
          <w:highlight w:val="none"/>
          <w:lang w:val="en-US" w:eastAsia="zh-CN"/>
        </w:rPr>
        <w:br w:type="textWrapping"/>
      </w:r>
      <w:r>
        <w:rPr>
          <w:rFonts w:hint="eastAsia" w:ascii="仿宋" w:hAnsi="仿宋" w:eastAsia="仿宋" w:cs="仿宋"/>
          <w:sz w:val="32"/>
          <w:szCs w:val="32"/>
          <w:highlight w:val="none"/>
          <w:lang w:val="en-US" w:eastAsia="zh-CN"/>
        </w:rPr>
        <w:t xml:space="preserve">    绿色运营方面，通过出台《桂阳沪农商村镇银行水电管理办法》《桂阳沪农商村镇银行安全保卫管理办法》《桂阳沪农商村镇银行集中采购管理办法》等制度，出台《节能减排低碳生活倡议书》等举措，践行绿色运营理念，达到节能、降耗等目标。</w:t>
      </w:r>
    </w:p>
    <w:p w14:paraId="1CD01112">
      <w:pPr>
        <w:pStyle w:val="6"/>
        <w:keepNext w:val="0"/>
        <w:keepLines w:val="0"/>
        <w:pageBreakBefore w:val="0"/>
        <w:widowControl w:val="0"/>
        <w:numPr>
          <w:ilvl w:val="0"/>
          <w:numId w:val="0"/>
        </w:numPr>
        <w:kinsoku/>
        <w:wordWrap/>
        <w:overflowPunct/>
        <w:topLinePunct w:val="0"/>
        <w:autoSpaceDE/>
        <w:autoSpaceDN/>
        <w:bidi w:val="0"/>
        <w:adjustRightInd/>
        <w:snapToGrid/>
        <w:spacing w:before="54" w:line="600" w:lineRule="exact"/>
        <w:ind w:firstLine="640" w:firstLineChars="200"/>
        <w:textAlignment w:val="auto"/>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风险管控方面，通过出台《桂阳沪农商村镇银行董事会授权书》《桂阳沪农商村镇银行微小贷款不良资产责任认定处理管理办法》等制度，将环境风险、环境不良企业纳入名单制管理，持续完善环境风险管理体系。</w:t>
      </w:r>
    </w:p>
    <w:p w14:paraId="3EC6118C">
      <w:pPr>
        <w:keepNext w:val="0"/>
        <w:keepLines w:val="0"/>
        <w:pageBreakBefore w:val="0"/>
        <w:kinsoku/>
        <w:wordWrap/>
        <w:overflowPunct/>
        <w:topLinePunct w:val="0"/>
        <w:autoSpaceDE/>
        <w:autoSpaceDN/>
        <w:bidi w:val="0"/>
        <w:adjustRightInd/>
        <w:snapToGrid/>
        <w:spacing w:line="600" w:lineRule="exact"/>
        <w:textAlignment w:val="auto"/>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 xml:space="preserve">    特色绿色信贷产品制度：《桂阳沪农商村镇银行“惠能贷”业务管理办法》《桂阳沪农商村镇银行农村土地承包经营权抵押贷款管理试行办法》《桂阳沪农商村镇银行新农村建房农户联保贷款管理办法》《桂阳沪农商惠民贷及村居业务管理办法》《桂阳沪农商村镇银行“惠e贷”业务管理办法》等。</w:t>
      </w:r>
    </w:p>
    <w:p w14:paraId="6C75421B">
      <w:pPr>
        <w:keepNext w:val="0"/>
        <w:keepLines w:val="0"/>
        <w:pageBreakBefore w:val="0"/>
        <w:kinsoku/>
        <w:wordWrap/>
        <w:overflowPunct/>
        <w:topLinePunct w:val="0"/>
        <w:autoSpaceDE/>
        <w:autoSpaceDN/>
        <w:bidi w:val="0"/>
        <w:adjustRightInd/>
        <w:snapToGrid/>
        <w:spacing w:line="600" w:lineRule="exact"/>
        <w:textAlignment w:val="auto"/>
        <w:rPr>
          <w:rFonts w:hint="eastAsia" w:ascii="仿宋" w:hAnsi="仿宋" w:eastAsia="仿宋" w:cs="仿宋"/>
          <w:sz w:val="32"/>
          <w:szCs w:val="32"/>
          <w:highlight w:val="none"/>
          <w:lang w:val="en-US" w:eastAsia="zh-CN"/>
        </w:rPr>
      </w:pPr>
      <w:r>
        <w:rPr>
          <w:rFonts w:hint="eastAsia" w:ascii="仿宋" w:hAnsi="仿宋" w:eastAsia="仿宋" w:cs="仿宋"/>
          <w:b/>
          <w:bCs/>
          <w:sz w:val="32"/>
          <w:szCs w:val="32"/>
          <w:highlight w:val="none"/>
          <w:lang w:val="en-US" w:eastAsia="zh-CN"/>
        </w:rPr>
        <w:t xml:space="preserve">    四、环境相关产品与创新与服务</w:t>
      </w:r>
    </w:p>
    <w:p w14:paraId="4AC4CC8C">
      <w:pPr>
        <w:pStyle w:val="6"/>
        <w:keepNext w:val="0"/>
        <w:keepLines w:val="0"/>
        <w:pageBreakBefore w:val="0"/>
        <w:widowControl w:val="0"/>
        <w:numPr>
          <w:ilvl w:val="0"/>
          <w:numId w:val="0"/>
        </w:numPr>
        <w:kinsoku/>
        <w:wordWrap/>
        <w:overflowPunct/>
        <w:topLinePunct w:val="0"/>
        <w:autoSpaceDE/>
        <w:autoSpaceDN/>
        <w:bidi w:val="0"/>
        <w:adjustRightInd/>
        <w:snapToGrid/>
        <w:spacing w:before="54" w:line="600" w:lineRule="exact"/>
        <w:ind w:firstLine="640" w:firstLineChars="200"/>
        <w:textAlignment w:val="auto"/>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为满足小微“三农”多层次、个性化需求，本行不断创新绿色金融产品与服务，先后推出“烟叶贷”“玉竹贷”“惠民贷”“惠企贷”等绿色产品，并结合县域地理位置属于太阳能资源三类地区优势，充分利用日照资源，推出居民屋顶分布式光伏发电产品“惠能贷”，通过准入有资质的光伏发电公司，以光伏公司保证担保方式，国家电网并网卖电收入为第一还款来源，为各乡镇村民提供屋顶光伏发电站建设融资，带动当地乡镇村民创利增收，扶持乡镇产业发展，实现清洁能源乡镇建设和乡村振兴的有机结合，促进县域能源结构清洁化转型。</w:t>
      </w:r>
    </w:p>
    <w:p w14:paraId="152EAC70">
      <w:pPr>
        <w:pStyle w:val="6"/>
        <w:keepNext w:val="0"/>
        <w:keepLines w:val="0"/>
        <w:pageBreakBefore w:val="0"/>
        <w:widowControl w:val="0"/>
        <w:numPr>
          <w:ilvl w:val="0"/>
          <w:numId w:val="0"/>
        </w:numPr>
        <w:kinsoku/>
        <w:wordWrap/>
        <w:overflowPunct/>
        <w:topLinePunct w:val="0"/>
        <w:autoSpaceDE/>
        <w:autoSpaceDN/>
        <w:bidi w:val="0"/>
        <w:adjustRightInd/>
        <w:snapToGrid/>
        <w:spacing w:before="54" w:line="600" w:lineRule="exact"/>
        <w:ind w:firstLine="640" w:firstLineChars="200"/>
        <w:textAlignment w:val="auto"/>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另外，结合大数据以及风控模型推出线上贷款产品，实现全流程无纸化信贷；推出移动信贷系统，提倡电子办公，减少纸张等办公用品消耗，持续推动金融业务绿色低碳高质量发展。</w:t>
      </w:r>
    </w:p>
    <w:p w14:paraId="36567B2A">
      <w:pPr>
        <w:pStyle w:val="6"/>
        <w:keepNext w:val="0"/>
        <w:keepLines w:val="0"/>
        <w:pageBreakBefore w:val="0"/>
        <w:widowControl w:val="0"/>
        <w:numPr>
          <w:ilvl w:val="0"/>
          <w:numId w:val="0"/>
        </w:numPr>
        <w:kinsoku/>
        <w:wordWrap/>
        <w:overflowPunct/>
        <w:topLinePunct w:val="0"/>
        <w:autoSpaceDE/>
        <w:autoSpaceDN/>
        <w:bidi w:val="0"/>
        <w:adjustRightInd/>
        <w:snapToGrid/>
        <w:spacing w:before="54" w:line="600" w:lineRule="exact"/>
        <w:ind w:firstLine="643" w:firstLineChars="200"/>
        <w:textAlignment w:val="auto"/>
        <w:rPr>
          <w:rFonts w:hint="eastAsia" w:ascii="仿宋" w:hAnsi="仿宋" w:eastAsia="仿宋" w:cs="仿宋"/>
          <w:b/>
          <w:bCs/>
          <w:sz w:val="32"/>
          <w:szCs w:val="32"/>
          <w:highlight w:val="none"/>
          <w:lang w:val="en-US" w:eastAsia="zh-CN"/>
        </w:rPr>
      </w:pPr>
      <w:r>
        <w:rPr>
          <w:rFonts w:hint="eastAsia" w:ascii="仿宋" w:hAnsi="仿宋" w:eastAsia="仿宋" w:cs="仿宋"/>
          <w:b/>
          <w:bCs/>
          <w:sz w:val="32"/>
          <w:szCs w:val="32"/>
          <w:highlight w:val="none"/>
          <w:lang w:val="en-US" w:eastAsia="zh-CN"/>
        </w:rPr>
        <w:t>五、环境风险管理及流程</w:t>
      </w:r>
    </w:p>
    <w:p w14:paraId="2B5A6CA8">
      <w:pPr>
        <w:pStyle w:val="6"/>
        <w:keepNext w:val="0"/>
        <w:keepLines w:val="0"/>
        <w:pageBreakBefore w:val="0"/>
        <w:widowControl w:val="0"/>
        <w:numPr>
          <w:ilvl w:val="0"/>
          <w:numId w:val="0"/>
        </w:numPr>
        <w:kinsoku/>
        <w:wordWrap/>
        <w:overflowPunct/>
        <w:topLinePunct w:val="0"/>
        <w:autoSpaceDE/>
        <w:autoSpaceDN/>
        <w:bidi w:val="0"/>
        <w:adjustRightInd/>
        <w:snapToGrid/>
        <w:spacing w:before="54" w:line="600" w:lineRule="exact"/>
        <w:ind w:firstLine="643" w:firstLineChars="200"/>
        <w:textAlignment w:val="auto"/>
        <w:rPr>
          <w:rFonts w:hint="eastAsia" w:ascii="仿宋" w:hAnsi="仿宋" w:eastAsia="仿宋" w:cs="仿宋"/>
          <w:b/>
          <w:bCs/>
          <w:sz w:val="32"/>
          <w:szCs w:val="32"/>
          <w:highlight w:val="none"/>
          <w:lang w:val="en-US" w:eastAsia="zh-CN"/>
        </w:rPr>
      </w:pPr>
      <w:r>
        <w:rPr>
          <w:rFonts w:hint="eastAsia" w:ascii="仿宋" w:hAnsi="仿宋" w:eastAsia="仿宋" w:cs="仿宋"/>
          <w:b/>
          <w:bCs/>
          <w:sz w:val="32"/>
          <w:szCs w:val="32"/>
          <w:highlight w:val="none"/>
          <w:lang w:val="en-US" w:eastAsia="zh-CN"/>
        </w:rPr>
        <w:t>（一）识别和评估流程</w:t>
      </w:r>
    </w:p>
    <w:p w14:paraId="43B68A82">
      <w:pPr>
        <w:pStyle w:val="6"/>
        <w:keepNext w:val="0"/>
        <w:keepLines w:val="0"/>
        <w:pageBreakBefore w:val="0"/>
        <w:widowControl w:val="0"/>
        <w:numPr>
          <w:ilvl w:val="0"/>
          <w:numId w:val="0"/>
        </w:numPr>
        <w:kinsoku/>
        <w:wordWrap/>
        <w:overflowPunct/>
        <w:topLinePunct w:val="0"/>
        <w:autoSpaceDE/>
        <w:autoSpaceDN/>
        <w:bidi w:val="0"/>
        <w:adjustRightInd/>
        <w:snapToGrid/>
        <w:spacing w:before="54" w:line="600" w:lineRule="exact"/>
        <w:ind w:firstLine="640" w:firstLineChars="200"/>
        <w:textAlignment w:val="auto"/>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本行不断健全环境风险管理体系，修订更新《桂阳沪农商村镇银行全面风险管理办法》《桂阳沪农商村镇银行互联网贷款风险管理办法》《桂阳沪农商村镇银行操作风险管理评价办法》，密切关注融资业务各环节，在贷前、贷中及贷后各个阶段对环境相关风险进行识别、评估和管理，严格执行国家产业政策、环境管理及污染治理等政策要求，提升环境风险管理专业化水平，促进绿色金融发展。</w:t>
      </w:r>
    </w:p>
    <w:p w14:paraId="3B23409A">
      <w:pPr>
        <w:pStyle w:val="6"/>
        <w:keepNext w:val="0"/>
        <w:keepLines w:val="0"/>
        <w:pageBreakBefore w:val="0"/>
        <w:widowControl w:val="0"/>
        <w:numPr>
          <w:ilvl w:val="0"/>
          <w:numId w:val="0"/>
        </w:numPr>
        <w:kinsoku/>
        <w:wordWrap/>
        <w:overflowPunct/>
        <w:topLinePunct w:val="0"/>
        <w:autoSpaceDE/>
        <w:autoSpaceDN/>
        <w:bidi w:val="0"/>
        <w:adjustRightInd/>
        <w:snapToGrid/>
        <w:spacing w:before="54" w:line="600" w:lineRule="exact"/>
        <w:ind w:firstLine="640" w:firstLineChars="200"/>
        <w:textAlignment w:val="auto"/>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本行建立健全环境风险评估和应急预案制度，根据监管部门的检查重点及通报情况，行内定期进行自查自纠；依据行业风险集中度等监管指标，动态监测、预警；设置专门部门及人员负责识别与预防环境风险，定期开展风险评估。</w:t>
      </w:r>
    </w:p>
    <w:p w14:paraId="4F11899C">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3" w:firstLineChars="200"/>
        <w:textAlignment w:val="auto"/>
        <w:rPr>
          <w:rFonts w:hint="eastAsia" w:ascii="仿宋" w:hAnsi="仿宋" w:eastAsia="仿宋" w:cs="仿宋"/>
          <w:b/>
          <w:bCs/>
          <w:sz w:val="32"/>
          <w:szCs w:val="32"/>
          <w:highlight w:val="none"/>
        </w:rPr>
      </w:pPr>
      <w:r>
        <w:rPr>
          <w:rFonts w:hint="eastAsia" w:ascii="仿宋" w:hAnsi="仿宋" w:eastAsia="仿宋" w:cs="仿宋"/>
          <w:b/>
          <w:bCs/>
          <w:sz w:val="32"/>
          <w:szCs w:val="32"/>
          <w:highlight w:val="none"/>
          <w:lang w:eastAsia="zh-CN"/>
        </w:rPr>
        <w:t>（</w:t>
      </w:r>
      <w:r>
        <w:rPr>
          <w:rFonts w:hint="eastAsia" w:ascii="仿宋" w:hAnsi="仿宋" w:eastAsia="仿宋" w:cs="仿宋"/>
          <w:b/>
          <w:bCs/>
          <w:sz w:val="32"/>
          <w:szCs w:val="32"/>
          <w:highlight w:val="none"/>
          <w:lang w:val="en-US" w:eastAsia="zh-CN"/>
        </w:rPr>
        <w:t>二</w:t>
      </w:r>
      <w:r>
        <w:rPr>
          <w:rFonts w:hint="eastAsia" w:ascii="仿宋" w:hAnsi="仿宋" w:eastAsia="仿宋" w:cs="仿宋"/>
          <w:b/>
          <w:bCs/>
          <w:sz w:val="32"/>
          <w:szCs w:val="32"/>
          <w:highlight w:val="none"/>
          <w:lang w:eastAsia="zh-CN"/>
        </w:rPr>
        <w:t>）</w:t>
      </w:r>
      <w:r>
        <w:rPr>
          <w:rFonts w:hint="eastAsia" w:ascii="仿宋" w:hAnsi="仿宋" w:eastAsia="仿宋" w:cs="仿宋"/>
          <w:b/>
          <w:bCs/>
          <w:sz w:val="32"/>
          <w:szCs w:val="32"/>
          <w:highlight w:val="none"/>
        </w:rPr>
        <w:t>管理和控制流程</w:t>
      </w:r>
    </w:p>
    <w:p w14:paraId="45047BF4">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一是做实以业务经办部门为主体的第一道防线。业务经办部门为经办业务的最前端，直接面对市场及客户，更是风险管控的第一道关口。本行以高强度的日常培训，通过授信业务二十禁、临柜业务四十禁等内部规章制度，树立提升业务人员技能水平及合规意识。</w:t>
      </w:r>
    </w:p>
    <w:p w14:paraId="5C17FAA7">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二是扎实筑牢以后台管理部门为主体的第二道防线。办公室、风险合规部作为本行管理架构中的后台部门，一方面需为前台业务部门提供有效的业务支撑，一方面也要将风险管理的第二道关口风险前移，实现前瞻性、全流程性。</w:t>
      </w:r>
    </w:p>
    <w:p w14:paraId="049CA963">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Chars="0" w:firstLine="640" w:firstLineChars="200"/>
        <w:textAlignment w:val="auto"/>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三是构建以审计监督部门为主体的第三道防线。首先本行通过非现场监测预警系统，自上而下实时管理控制风险情况；本行内部审计部门负责各条线业务的合规性检查，定期不定期的开展业务审计检查，有效履行监督管理职能，从而提升了第三道防线的再评估能力，落实管理的权威性。</w:t>
      </w:r>
    </w:p>
    <w:p w14:paraId="667367D0">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Chars="0" w:firstLine="643" w:firstLineChars="200"/>
        <w:textAlignment w:val="auto"/>
        <w:rPr>
          <w:rFonts w:hint="eastAsia" w:ascii="仿宋" w:hAnsi="仿宋" w:eastAsia="仿宋" w:cs="仿宋"/>
          <w:b/>
          <w:bCs/>
          <w:sz w:val="32"/>
          <w:szCs w:val="32"/>
          <w:highlight w:val="none"/>
          <w:lang w:eastAsia="zh-CN"/>
        </w:rPr>
      </w:pPr>
      <w:r>
        <w:rPr>
          <w:rFonts w:hint="eastAsia" w:ascii="仿宋" w:hAnsi="仿宋" w:eastAsia="仿宋" w:cs="仿宋"/>
          <w:b/>
          <w:bCs/>
          <w:sz w:val="32"/>
          <w:szCs w:val="32"/>
          <w:highlight w:val="none"/>
          <w:lang w:val="en-US" w:eastAsia="zh-CN"/>
        </w:rPr>
        <w:t>六、</w:t>
      </w:r>
      <w:r>
        <w:rPr>
          <w:rFonts w:hint="eastAsia" w:ascii="仿宋" w:hAnsi="仿宋" w:eastAsia="仿宋" w:cs="仿宋"/>
          <w:b/>
          <w:bCs/>
          <w:sz w:val="32"/>
          <w:szCs w:val="32"/>
          <w:highlight w:val="none"/>
        </w:rPr>
        <w:t>环境因素</w:t>
      </w:r>
      <w:r>
        <w:rPr>
          <w:rFonts w:hint="eastAsia" w:ascii="仿宋" w:hAnsi="仿宋" w:eastAsia="仿宋" w:cs="仿宋"/>
          <w:b/>
          <w:bCs/>
          <w:sz w:val="32"/>
          <w:szCs w:val="32"/>
          <w:highlight w:val="none"/>
          <w:lang w:val="en-US" w:eastAsia="zh-CN"/>
        </w:rPr>
        <w:t>产生的</w:t>
      </w:r>
      <w:r>
        <w:rPr>
          <w:rFonts w:hint="eastAsia" w:ascii="仿宋" w:hAnsi="仿宋" w:eastAsia="仿宋" w:cs="仿宋"/>
          <w:b/>
          <w:bCs/>
          <w:sz w:val="32"/>
          <w:szCs w:val="32"/>
          <w:highlight w:val="none"/>
        </w:rPr>
        <w:t>影响</w:t>
      </w:r>
    </w:p>
    <w:p w14:paraId="49F35C29">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Chars="0" w:firstLine="643" w:firstLineChars="200"/>
        <w:textAlignment w:val="auto"/>
        <w:rPr>
          <w:rFonts w:hint="eastAsia" w:ascii="仿宋" w:hAnsi="仿宋" w:eastAsia="仿宋" w:cs="仿宋"/>
          <w:b/>
          <w:bCs/>
          <w:sz w:val="32"/>
          <w:szCs w:val="32"/>
          <w:highlight w:val="none"/>
          <w:lang w:val="en-US" w:eastAsia="zh-CN"/>
        </w:rPr>
      </w:pPr>
      <w:r>
        <w:rPr>
          <w:rFonts w:hint="eastAsia" w:ascii="仿宋" w:hAnsi="仿宋" w:eastAsia="仿宋" w:cs="仿宋"/>
          <w:b/>
          <w:bCs/>
          <w:sz w:val="32"/>
          <w:szCs w:val="32"/>
          <w:highlight w:val="none"/>
          <w:lang w:eastAsia="zh-CN"/>
        </w:rPr>
        <w:t>（</w:t>
      </w:r>
      <w:r>
        <w:rPr>
          <w:rFonts w:hint="eastAsia" w:ascii="仿宋" w:hAnsi="仿宋" w:eastAsia="仿宋" w:cs="仿宋"/>
          <w:b/>
          <w:bCs/>
          <w:sz w:val="32"/>
          <w:szCs w:val="32"/>
          <w:highlight w:val="none"/>
          <w:lang w:val="en-US" w:eastAsia="zh-CN"/>
        </w:rPr>
        <w:t>一</w:t>
      </w:r>
      <w:r>
        <w:rPr>
          <w:rFonts w:hint="eastAsia" w:ascii="仿宋" w:hAnsi="仿宋" w:eastAsia="仿宋" w:cs="仿宋"/>
          <w:b/>
          <w:bCs/>
          <w:sz w:val="32"/>
          <w:szCs w:val="32"/>
          <w:highlight w:val="none"/>
          <w:lang w:eastAsia="zh-CN"/>
        </w:rPr>
        <w:t>）</w:t>
      </w:r>
      <w:r>
        <w:rPr>
          <w:rFonts w:hint="eastAsia" w:ascii="仿宋" w:hAnsi="仿宋" w:eastAsia="仿宋" w:cs="仿宋"/>
          <w:b/>
          <w:bCs/>
          <w:sz w:val="32"/>
          <w:szCs w:val="32"/>
          <w:highlight w:val="none"/>
          <w:lang w:val="en-US" w:eastAsia="zh-CN"/>
        </w:rPr>
        <w:t>风险和机遇</w:t>
      </w:r>
    </w:p>
    <w:p w14:paraId="719E68CB">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eastAsia" w:ascii="仿宋" w:hAnsi="仿宋" w:eastAsia="仿宋" w:cs="仿宋"/>
          <w:b/>
          <w:bCs/>
          <w:sz w:val="32"/>
          <w:szCs w:val="32"/>
          <w:highlight w:val="none"/>
          <w:lang w:val="en-US" w:eastAsia="zh-CN"/>
        </w:rPr>
      </w:pPr>
      <w:r>
        <w:rPr>
          <w:rFonts w:hint="eastAsia" w:ascii="仿宋" w:hAnsi="仿宋" w:eastAsia="仿宋" w:cs="仿宋"/>
          <w:kern w:val="2"/>
          <w:sz w:val="32"/>
          <w:szCs w:val="32"/>
          <w:highlight w:val="none"/>
          <w:lang w:val="en-US" w:eastAsia="zh-CN" w:bidi="ar-SA"/>
        </w:rPr>
        <w:t>2022年6月，中国银保监会印发《银行业保险业绿色金融指引》，要求银行保险机构深入贯彻落实新发展理念，从战略高度推进绿色金融，加大对绿色、低碳、循环经济的支持，防范环境、社会和治理险。环境风险包括物理风险、转型风险。与商业银行传统的风险相比，环境风险呈现明显的强外部性、强传递性、强动态性的特征，并对商业银行全面风险控制造成影响。</w:t>
      </w:r>
    </w:p>
    <w:p w14:paraId="265DB4C5">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00" w:lineRule="exact"/>
        <w:ind w:left="0" w:right="0" w:firstLine="672" w:firstLineChars="200"/>
        <w:jc w:val="both"/>
        <w:textAlignment w:val="auto"/>
        <w:rPr>
          <w:rFonts w:hint="eastAsia" w:ascii="仿宋" w:hAnsi="仿宋" w:eastAsia="仿宋" w:cs="仿宋"/>
          <w:i w:val="0"/>
          <w:iCs w:val="0"/>
          <w:caps w:val="0"/>
          <w:color w:val="222222"/>
          <w:spacing w:val="8"/>
          <w:sz w:val="32"/>
          <w:szCs w:val="32"/>
          <w:highlight w:val="none"/>
        </w:rPr>
      </w:pPr>
      <w:r>
        <w:rPr>
          <w:rFonts w:hint="eastAsia" w:ascii="仿宋" w:hAnsi="仿宋" w:eastAsia="仿宋" w:cs="仿宋"/>
          <w:i w:val="0"/>
          <w:iCs w:val="0"/>
          <w:caps w:val="0"/>
          <w:color w:val="222222"/>
          <w:spacing w:val="8"/>
          <w:sz w:val="32"/>
          <w:szCs w:val="32"/>
          <w:highlight w:val="none"/>
          <w:shd w:val="clear" w:fill="FFFFFF"/>
          <w:lang w:val="en-US" w:eastAsia="zh-CN"/>
        </w:rPr>
        <w:t>本行</w:t>
      </w:r>
      <w:r>
        <w:rPr>
          <w:rFonts w:hint="eastAsia" w:ascii="仿宋" w:hAnsi="仿宋" w:eastAsia="仿宋" w:cs="仿宋"/>
          <w:i w:val="0"/>
          <w:iCs w:val="0"/>
          <w:caps w:val="0"/>
          <w:color w:val="222222"/>
          <w:spacing w:val="8"/>
          <w:sz w:val="32"/>
          <w:szCs w:val="32"/>
          <w:highlight w:val="none"/>
          <w:shd w:val="clear" w:fill="FFFFFF"/>
        </w:rPr>
        <w:t>可能面临的环境风险，主要体现在绿色信贷中，因环保相关项目不达标而停产或停业，从而引起的信用风险，涉及的行业主要有采矿业、制造业、电力</w:t>
      </w:r>
      <w:r>
        <w:rPr>
          <w:rFonts w:hint="eastAsia" w:ascii="仿宋" w:hAnsi="仿宋" w:eastAsia="仿宋" w:cs="仿宋"/>
          <w:i w:val="0"/>
          <w:iCs w:val="0"/>
          <w:caps w:val="0"/>
          <w:color w:val="222222"/>
          <w:spacing w:val="8"/>
          <w:sz w:val="32"/>
          <w:szCs w:val="32"/>
          <w:highlight w:val="none"/>
          <w:shd w:val="clear" w:fill="FFFFFF"/>
          <w:lang w:eastAsia="zh-CN"/>
        </w:rPr>
        <w:t>、</w:t>
      </w:r>
      <w:r>
        <w:rPr>
          <w:rFonts w:hint="eastAsia" w:ascii="仿宋" w:hAnsi="仿宋" w:eastAsia="仿宋" w:cs="仿宋"/>
          <w:i w:val="0"/>
          <w:iCs w:val="0"/>
          <w:caps w:val="0"/>
          <w:color w:val="222222"/>
          <w:spacing w:val="8"/>
          <w:sz w:val="32"/>
          <w:szCs w:val="32"/>
          <w:highlight w:val="none"/>
          <w:shd w:val="clear" w:fill="FFFFFF"/>
        </w:rPr>
        <w:t>餐饮业、房地产业等，</w:t>
      </w:r>
      <w:r>
        <w:rPr>
          <w:rFonts w:hint="eastAsia" w:ascii="仿宋" w:hAnsi="仿宋" w:eastAsia="仿宋" w:cs="仿宋"/>
          <w:i w:val="0"/>
          <w:iCs w:val="0"/>
          <w:caps w:val="0"/>
          <w:color w:val="222222"/>
          <w:spacing w:val="8"/>
          <w:sz w:val="32"/>
          <w:szCs w:val="32"/>
          <w:highlight w:val="none"/>
          <w:shd w:val="clear" w:fill="FFFFFF"/>
          <w:lang w:val="en-US" w:eastAsia="zh-CN"/>
        </w:rPr>
        <w:t>本</w:t>
      </w:r>
      <w:r>
        <w:rPr>
          <w:rFonts w:hint="eastAsia" w:ascii="仿宋" w:hAnsi="仿宋" w:eastAsia="仿宋" w:cs="仿宋"/>
          <w:i w:val="0"/>
          <w:iCs w:val="0"/>
          <w:caps w:val="0"/>
          <w:color w:val="222222"/>
          <w:spacing w:val="8"/>
          <w:sz w:val="32"/>
          <w:szCs w:val="32"/>
          <w:highlight w:val="none"/>
          <w:shd w:val="clear" w:fill="FFFFFF"/>
        </w:rPr>
        <w:t>行对以上几类行业，加强环保监测调查，随时关注环保、安全生产等政策法规，对环境和社会表现不合规、违法违规、污染严重、社会影响负面的客户，及时采取应对措施，加强风险防范。</w:t>
      </w:r>
    </w:p>
    <w:p w14:paraId="0AC864CC">
      <w:pPr>
        <w:pStyle w:val="2"/>
        <w:keepNext w:val="0"/>
        <w:keepLines w:val="0"/>
        <w:pageBreakBefore w:val="0"/>
        <w:kinsoku/>
        <w:wordWrap/>
        <w:overflowPunct/>
        <w:topLinePunct w:val="0"/>
        <w:autoSpaceDE/>
        <w:autoSpaceDN/>
        <w:bidi w:val="0"/>
        <w:adjustRightInd/>
        <w:snapToGrid/>
        <w:spacing w:line="600" w:lineRule="exact"/>
        <w:ind w:left="0" w:leftChars="0" w:firstLine="643" w:firstLineChars="200"/>
        <w:textAlignment w:val="auto"/>
        <w:rPr>
          <w:rFonts w:hint="eastAsia" w:ascii="仿宋" w:hAnsi="仿宋" w:eastAsia="仿宋" w:cs="仿宋"/>
          <w:b/>
          <w:bCs/>
          <w:kern w:val="2"/>
          <w:sz w:val="32"/>
          <w:szCs w:val="32"/>
          <w:highlight w:val="none"/>
          <w:lang w:val="en-US" w:eastAsia="zh-CN" w:bidi="ar-SA"/>
        </w:rPr>
      </w:pPr>
      <w:r>
        <w:rPr>
          <w:rFonts w:hint="eastAsia" w:ascii="仿宋" w:hAnsi="仿宋" w:eastAsia="仿宋" w:cs="仿宋"/>
          <w:b/>
          <w:bCs/>
          <w:kern w:val="2"/>
          <w:sz w:val="32"/>
          <w:szCs w:val="32"/>
          <w:highlight w:val="none"/>
          <w:lang w:val="en-US" w:eastAsia="zh-CN" w:bidi="ar-SA"/>
        </w:rPr>
        <w:t>（二）环境风险的应对</w:t>
      </w:r>
    </w:p>
    <w:p w14:paraId="41387466">
      <w:pPr>
        <w:pStyle w:val="6"/>
        <w:keepNext w:val="0"/>
        <w:keepLines w:val="0"/>
        <w:pageBreakBefore w:val="0"/>
        <w:widowControl w:val="0"/>
        <w:numPr>
          <w:ilvl w:val="0"/>
          <w:numId w:val="0"/>
        </w:numPr>
        <w:kinsoku/>
        <w:wordWrap/>
        <w:overflowPunct/>
        <w:topLinePunct w:val="0"/>
        <w:autoSpaceDE/>
        <w:autoSpaceDN/>
        <w:bidi w:val="0"/>
        <w:adjustRightInd/>
        <w:snapToGrid/>
        <w:spacing w:before="54" w:line="600" w:lineRule="exact"/>
        <w:ind w:firstLine="672" w:firstLineChars="200"/>
        <w:textAlignment w:val="auto"/>
        <w:rPr>
          <w:rFonts w:hint="eastAsia" w:ascii="仿宋" w:hAnsi="仿宋" w:eastAsia="仿宋" w:cs="仿宋"/>
          <w:i w:val="0"/>
          <w:iCs w:val="0"/>
          <w:caps w:val="0"/>
          <w:color w:val="222222"/>
          <w:spacing w:val="8"/>
          <w:sz w:val="32"/>
          <w:szCs w:val="32"/>
          <w:highlight w:val="none"/>
          <w:shd w:val="clear" w:fill="FFFFFF"/>
          <w:lang w:val="en-US" w:eastAsia="zh-CN"/>
        </w:rPr>
      </w:pPr>
      <w:r>
        <w:rPr>
          <w:rFonts w:hint="eastAsia" w:ascii="仿宋" w:hAnsi="仿宋" w:eastAsia="仿宋" w:cs="仿宋"/>
          <w:i w:val="0"/>
          <w:iCs w:val="0"/>
          <w:caps w:val="0"/>
          <w:color w:val="222222"/>
          <w:spacing w:val="8"/>
          <w:sz w:val="32"/>
          <w:szCs w:val="32"/>
          <w:highlight w:val="none"/>
          <w:shd w:val="clear" w:fill="FFFFFF"/>
          <w:lang w:val="en-US" w:eastAsia="zh-CN"/>
        </w:rPr>
        <w:t>为应对气候风险，本行持续保持对国家和监管环境政策变化情况的关注，将绿色金融发展纳入本行发展战略，稳步建立健全绿色金融管理体系，一是从风险治理架构完善环境风险文化和顶层设计。二是建立环境风险管理策略，明确环境风险偏好和风险限额。三是建立环境风险管理政策和程序。四是完善环境风险管理信息系统和数据质量控制机制。五是将环境风险纳入内部控制和审计体系。</w:t>
      </w:r>
    </w:p>
    <w:p w14:paraId="4412E07A">
      <w:pPr>
        <w:pStyle w:val="6"/>
        <w:keepNext w:val="0"/>
        <w:keepLines w:val="0"/>
        <w:pageBreakBefore w:val="0"/>
        <w:widowControl w:val="0"/>
        <w:numPr>
          <w:ilvl w:val="0"/>
          <w:numId w:val="0"/>
        </w:numPr>
        <w:kinsoku/>
        <w:wordWrap/>
        <w:overflowPunct/>
        <w:topLinePunct w:val="0"/>
        <w:autoSpaceDE/>
        <w:autoSpaceDN/>
        <w:bidi w:val="0"/>
        <w:adjustRightInd/>
        <w:snapToGrid/>
        <w:spacing w:before="54" w:line="600" w:lineRule="exact"/>
        <w:ind w:firstLine="675" w:firstLineChars="200"/>
        <w:textAlignment w:val="auto"/>
        <w:rPr>
          <w:rFonts w:hint="eastAsia" w:ascii="仿宋" w:hAnsi="仿宋" w:eastAsia="仿宋" w:cs="仿宋"/>
          <w:b/>
          <w:bCs/>
          <w:i w:val="0"/>
          <w:iCs w:val="0"/>
          <w:caps w:val="0"/>
          <w:color w:val="222222"/>
          <w:spacing w:val="8"/>
          <w:sz w:val="32"/>
          <w:szCs w:val="32"/>
          <w:highlight w:val="none"/>
          <w:shd w:val="clear" w:fill="FFFFFF"/>
          <w:lang w:val="en-US" w:eastAsia="zh-CN"/>
        </w:rPr>
      </w:pPr>
      <w:r>
        <w:rPr>
          <w:rFonts w:hint="eastAsia" w:ascii="仿宋" w:hAnsi="仿宋" w:eastAsia="仿宋" w:cs="仿宋"/>
          <w:b/>
          <w:bCs/>
          <w:i w:val="0"/>
          <w:iCs w:val="0"/>
          <w:caps w:val="0"/>
          <w:color w:val="222222"/>
          <w:spacing w:val="8"/>
          <w:sz w:val="32"/>
          <w:szCs w:val="32"/>
          <w:highlight w:val="none"/>
          <w:shd w:val="clear" w:fill="FFFFFF"/>
          <w:lang w:val="en-US" w:eastAsia="zh-CN"/>
        </w:rPr>
        <w:t>七、环境风险量化分析</w:t>
      </w:r>
    </w:p>
    <w:p w14:paraId="12898CF2">
      <w:pPr>
        <w:pStyle w:val="6"/>
        <w:keepNext w:val="0"/>
        <w:keepLines w:val="0"/>
        <w:pageBreakBefore w:val="0"/>
        <w:widowControl w:val="0"/>
        <w:numPr>
          <w:ilvl w:val="0"/>
          <w:numId w:val="0"/>
        </w:numPr>
        <w:kinsoku/>
        <w:wordWrap/>
        <w:overflowPunct/>
        <w:topLinePunct w:val="0"/>
        <w:autoSpaceDE/>
        <w:autoSpaceDN/>
        <w:bidi w:val="0"/>
        <w:adjustRightInd/>
        <w:snapToGrid/>
        <w:spacing w:before="54" w:line="600" w:lineRule="exact"/>
        <w:ind w:firstLine="672" w:firstLineChars="200"/>
        <w:textAlignment w:val="auto"/>
        <w:rPr>
          <w:rFonts w:hint="eastAsia" w:ascii="仿宋" w:hAnsi="仿宋" w:eastAsia="仿宋" w:cs="仿宋"/>
          <w:i w:val="0"/>
          <w:iCs w:val="0"/>
          <w:caps w:val="0"/>
          <w:color w:val="222222"/>
          <w:spacing w:val="8"/>
          <w:sz w:val="32"/>
          <w:szCs w:val="32"/>
          <w:highlight w:val="none"/>
          <w:shd w:val="clear" w:fill="FFFFFF"/>
          <w:lang w:val="en-US" w:eastAsia="zh-CN"/>
        </w:rPr>
      </w:pPr>
      <w:r>
        <w:rPr>
          <w:rFonts w:hint="eastAsia" w:ascii="仿宋" w:hAnsi="仿宋" w:eastAsia="仿宋" w:cs="仿宋"/>
          <w:i w:val="0"/>
          <w:iCs w:val="0"/>
          <w:caps w:val="0"/>
          <w:color w:val="222222"/>
          <w:spacing w:val="8"/>
          <w:sz w:val="32"/>
          <w:szCs w:val="32"/>
          <w:highlight w:val="none"/>
          <w:shd w:val="clear" w:fill="FFFFFF"/>
          <w:lang w:val="en-US" w:eastAsia="zh-CN"/>
        </w:rPr>
        <w:t>本行在环境风险量化分析方面通过定期对流动性风险和业务连续性开展应急演练并分析，目的是为了各部门梳理流程、补足短板、提高应急处置能力。本行要求全行干部员工认真学习重大事项报告、风险管理等制度，做到人人应知应会，明确各自岗位职责和应急行动程序，遇到紧急情况，能够快速响应，同时加强员工技能培训和心理辅导，提高员工综合素质，提高应急处置能力。</w:t>
      </w:r>
    </w:p>
    <w:p w14:paraId="3BF1B609">
      <w:pPr>
        <w:pStyle w:val="6"/>
        <w:keepNext w:val="0"/>
        <w:keepLines w:val="0"/>
        <w:pageBreakBefore w:val="0"/>
        <w:widowControl w:val="0"/>
        <w:numPr>
          <w:ilvl w:val="0"/>
          <w:numId w:val="0"/>
        </w:numPr>
        <w:kinsoku/>
        <w:wordWrap/>
        <w:overflowPunct/>
        <w:topLinePunct w:val="0"/>
        <w:autoSpaceDE/>
        <w:autoSpaceDN/>
        <w:bidi w:val="0"/>
        <w:adjustRightInd/>
        <w:snapToGrid/>
        <w:spacing w:before="54" w:line="600" w:lineRule="exact"/>
        <w:ind w:firstLine="672" w:firstLineChars="200"/>
        <w:textAlignment w:val="auto"/>
        <w:rPr>
          <w:rFonts w:hint="eastAsia" w:ascii="仿宋" w:hAnsi="仿宋" w:eastAsia="仿宋" w:cs="仿宋"/>
          <w:sz w:val="32"/>
          <w:szCs w:val="32"/>
          <w:highlight w:val="none"/>
          <w:lang w:val="en-US" w:eastAsia="zh-CN"/>
        </w:rPr>
      </w:pPr>
      <w:r>
        <w:rPr>
          <w:rFonts w:hint="eastAsia" w:ascii="仿宋" w:hAnsi="仿宋" w:eastAsia="仿宋" w:cs="仿宋"/>
          <w:i w:val="0"/>
          <w:iCs w:val="0"/>
          <w:caps w:val="0"/>
          <w:color w:val="222222"/>
          <w:spacing w:val="8"/>
          <w:sz w:val="32"/>
          <w:szCs w:val="32"/>
          <w:highlight w:val="none"/>
          <w:shd w:val="clear" w:fill="FFFFFF"/>
          <w:lang w:val="en-US" w:eastAsia="zh-CN"/>
        </w:rPr>
        <w:t xml:space="preserve"> </w:t>
      </w:r>
      <w:r>
        <w:rPr>
          <w:rFonts w:hint="eastAsia" w:ascii="仿宋" w:hAnsi="仿宋" w:eastAsia="仿宋" w:cs="仿宋"/>
          <w:b/>
          <w:bCs/>
          <w:sz w:val="32"/>
          <w:szCs w:val="32"/>
          <w:highlight w:val="none"/>
          <w:lang w:val="en-US" w:eastAsia="zh-CN"/>
        </w:rPr>
        <w:t>八、投融资活动的环境影响</w:t>
      </w:r>
    </w:p>
    <w:p w14:paraId="6A0571E5">
      <w:pPr>
        <w:keepNext w:val="0"/>
        <w:keepLines w:val="0"/>
        <w:pageBreakBefore w:val="0"/>
        <w:widowControl w:val="0"/>
        <w:numPr>
          <w:ilvl w:val="0"/>
          <w:numId w:val="1"/>
        </w:numPr>
        <w:kinsoku/>
        <w:wordWrap/>
        <w:overflowPunct/>
        <w:topLinePunct w:val="0"/>
        <w:autoSpaceDE/>
        <w:autoSpaceDN/>
        <w:bidi w:val="0"/>
        <w:adjustRightInd/>
        <w:snapToGrid/>
        <w:spacing w:line="600" w:lineRule="exact"/>
        <w:ind w:left="630" w:leftChars="0" w:firstLineChars="0"/>
        <w:textAlignment w:val="auto"/>
        <w:rPr>
          <w:rFonts w:hint="eastAsia" w:ascii="仿宋" w:hAnsi="仿宋" w:eastAsia="仿宋" w:cs="仿宋"/>
          <w:b/>
          <w:bCs/>
          <w:sz w:val="32"/>
          <w:szCs w:val="32"/>
          <w:highlight w:val="none"/>
        </w:rPr>
      </w:pPr>
      <w:r>
        <w:rPr>
          <w:rFonts w:hint="eastAsia" w:ascii="仿宋" w:hAnsi="仿宋" w:eastAsia="仿宋" w:cs="仿宋"/>
          <w:b/>
          <w:bCs/>
          <w:sz w:val="32"/>
          <w:szCs w:val="32"/>
          <w:highlight w:val="none"/>
        </w:rPr>
        <w:t>投融资</w:t>
      </w:r>
      <w:r>
        <w:rPr>
          <w:rFonts w:hint="eastAsia" w:ascii="仿宋" w:hAnsi="仿宋" w:eastAsia="仿宋" w:cs="仿宋"/>
          <w:b/>
          <w:bCs/>
          <w:sz w:val="32"/>
          <w:szCs w:val="32"/>
          <w:highlight w:val="none"/>
          <w:lang w:val="en-US" w:eastAsia="zh-CN"/>
        </w:rPr>
        <w:t>对</w:t>
      </w:r>
      <w:r>
        <w:rPr>
          <w:rFonts w:hint="eastAsia" w:ascii="仿宋" w:hAnsi="仿宋" w:eastAsia="仿宋" w:cs="仿宋"/>
          <w:b/>
          <w:bCs/>
          <w:sz w:val="32"/>
          <w:szCs w:val="32"/>
          <w:highlight w:val="none"/>
        </w:rPr>
        <w:t>环境</w:t>
      </w:r>
      <w:r>
        <w:rPr>
          <w:rFonts w:hint="eastAsia" w:ascii="仿宋" w:hAnsi="仿宋" w:eastAsia="仿宋" w:cs="仿宋"/>
          <w:b/>
          <w:bCs/>
          <w:sz w:val="32"/>
          <w:szCs w:val="32"/>
          <w:highlight w:val="none"/>
          <w:lang w:val="en-US" w:eastAsia="zh-CN"/>
        </w:rPr>
        <w:t>的</w:t>
      </w:r>
      <w:r>
        <w:rPr>
          <w:rFonts w:hint="eastAsia" w:ascii="仿宋" w:hAnsi="仿宋" w:eastAsia="仿宋" w:cs="仿宋"/>
          <w:b/>
          <w:bCs/>
          <w:sz w:val="32"/>
          <w:szCs w:val="32"/>
          <w:highlight w:val="none"/>
        </w:rPr>
        <w:t>影响</w:t>
      </w:r>
    </w:p>
    <w:p w14:paraId="3A409382">
      <w:pPr>
        <w:keepNext w:val="0"/>
        <w:keepLines w:val="0"/>
        <w:pageBreakBefore w:val="0"/>
        <w:widowControl w:val="0"/>
        <w:numPr>
          <w:ilvl w:val="0"/>
          <w:numId w:val="2"/>
        </w:numPr>
        <w:kinsoku/>
        <w:wordWrap/>
        <w:overflowPunct/>
        <w:topLinePunct w:val="0"/>
        <w:autoSpaceDE/>
        <w:autoSpaceDN/>
        <w:bidi w:val="0"/>
        <w:adjustRightInd/>
        <w:snapToGrid/>
        <w:spacing w:line="600" w:lineRule="exact"/>
        <w:textAlignment w:val="auto"/>
        <w:rPr>
          <w:rFonts w:hint="eastAsia" w:ascii="仿宋" w:hAnsi="仿宋" w:eastAsia="仿宋" w:cs="仿宋"/>
          <w:sz w:val="32"/>
          <w:szCs w:val="32"/>
          <w:highlight w:val="none"/>
        </w:rPr>
      </w:pPr>
      <w:r>
        <w:rPr>
          <w:rFonts w:hint="eastAsia" w:ascii="仿宋" w:hAnsi="仿宋" w:eastAsia="仿宋" w:cs="仿宋"/>
          <w:sz w:val="32"/>
          <w:szCs w:val="32"/>
          <w:highlight w:val="none"/>
        </w:rPr>
        <w:t>整体投融资情况及对环境的影响</w:t>
      </w:r>
      <w:r>
        <w:rPr>
          <w:rFonts w:hint="eastAsia" w:ascii="仿宋" w:hAnsi="仿宋" w:eastAsia="仿宋" w:cs="仿宋"/>
          <w:sz w:val="32"/>
          <w:szCs w:val="32"/>
          <w:highlight w:val="none"/>
          <w:lang w:eastAsia="zh-CN"/>
        </w:rPr>
        <w:t>；</w:t>
      </w:r>
    </w:p>
    <w:p w14:paraId="5EDA1347">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eastAsia" w:ascii="仿宋" w:hAnsi="仿宋" w:eastAsia="仿宋" w:cs="仿宋"/>
          <w:sz w:val="32"/>
          <w:szCs w:val="32"/>
          <w:highlight w:val="none"/>
        </w:rPr>
      </w:pPr>
      <w:r>
        <w:rPr>
          <w:rFonts w:hint="eastAsia" w:ascii="仿宋" w:hAnsi="仿宋" w:eastAsia="仿宋" w:cs="仿宋"/>
          <w:color w:val="000000" w:themeColor="text1"/>
          <w:sz w:val="32"/>
          <w:szCs w:val="32"/>
          <w:highlight w:val="none"/>
          <w:lang w:val="en-US" w:eastAsia="zh-CN"/>
          <w14:textFill>
            <w14:solidFill>
              <w14:schemeClr w14:val="tx1"/>
            </w14:solidFill>
          </w14:textFill>
        </w:rPr>
        <w:t>本行秉承“扎根县域、支农支小”的服务理念</w:t>
      </w:r>
      <w:r>
        <w:rPr>
          <w:rFonts w:hint="eastAsia" w:ascii="仿宋" w:hAnsi="仿宋" w:eastAsia="仿宋" w:cs="仿宋"/>
          <w:color w:val="000000" w:themeColor="text1"/>
          <w:sz w:val="32"/>
          <w:szCs w:val="32"/>
          <w:highlight w:val="none"/>
          <w14:textFill>
            <w14:solidFill>
              <w14:schemeClr w14:val="tx1"/>
            </w14:solidFill>
          </w14:textFill>
        </w:rPr>
        <w:t>，始终坚持服务三农、 服务小微，积极响应国家绿色金融相关政策，持续加大对绿色经济、低碳经济、循环经济的支持，促进本行投融资结构和经营发展向绿色转型。</w:t>
      </w:r>
      <w:r>
        <w:rPr>
          <w:rFonts w:hint="eastAsia" w:ascii="仿宋" w:hAnsi="仿宋" w:eastAsia="仿宋" w:cs="仿宋"/>
          <w:color w:val="000000" w:themeColor="text1"/>
          <w:sz w:val="32"/>
          <w:szCs w:val="32"/>
          <w:highlight w:val="none"/>
          <w:lang w:eastAsia="zh-CN"/>
          <w14:textFill>
            <w14:solidFill>
              <w14:schemeClr w14:val="tx1"/>
            </w14:solidFill>
          </w14:textFill>
        </w:rPr>
        <w:t>202</w:t>
      </w:r>
      <w:r>
        <w:rPr>
          <w:rFonts w:hint="eastAsia" w:ascii="仿宋" w:hAnsi="仿宋" w:eastAsia="仿宋" w:cs="仿宋"/>
          <w:color w:val="000000" w:themeColor="text1"/>
          <w:sz w:val="32"/>
          <w:szCs w:val="32"/>
          <w:highlight w:val="none"/>
          <w:lang w:val="en-US" w:eastAsia="zh-CN"/>
          <w14:textFill>
            <w14:solidFill>
              <w14:schemeClr w14:val="tx1"/>
            </w14:solidFill>
          </w14:textFill>
        </w:rPr>
        <w:t>5</w:t>
      </w:r>
      <w:r>
        <w:rPr>
          <w:rFonts w:hint="eastAsia" w:ascii="仿宋" w:hAnsi="仿宋" w:eastAsia="仿宋" w:cs="仿宋"/>
          <w:color w:val="000000" w:themeColor="text1"/>
          <w:sz w:val="32"/>
          <w:szCs w:val="32"/>
          <w:highlight w:val="none"/>
          <w14:textFill>
            <w14:solidFill>
              <w14:schemeClr w14:val="tx1"/>
            </w14:solidFill>
          </w14:textFill>
        </w:rPr>
        <w:t>年，本行继续将“两高一剩”行业列为退出限制类行业，持续保持“两高一剩”行业贷款零余额，同时严格控制违规新增产能的信贷投入</w:t>
      </w:r>
      <w:r>
        <w:rPr>
          <w:rFonts w:hint="eastAsia" w:ascii="仿宋" w:hAnsi="仿宋" w:eastAsia="仿宋" w:cs="仿宋"/>
          <w:color w:val="000000" w:themeColor="text1"/>
          <w:sz w:val="32"/>
          <w:szCs w:val="32"/>
          <w:highlight w:val="none"/>
          <w:lang w:eastAsia="zh-CN"/>
          <w14:textFill>
            <w14:solidFill>
              <w14:schemeClr w14:val="tx1"/>
            </w14:solidFill>
          </w14:textFill>
        </w:rPr>
        <w:t>。</w:t>
      </w:r>
      <w:r>
        <w:rPr>
          <w:rFonts w:hint="eastAsia" w:ascii="仿宋" w:hAnsi="仿宋" w:eastAsia="仿宋" w:cs="仿宋"/>
          <w:color w:val="000000" w:themeColor="text1"/>
          <w:sz w:val="32"/>
          <w:szCs w:val="32"/>
          <w:highlight w:val="none"/>
          <w:lang w:val="en-US" w:eastAsia="zh-CN"/>
          <w14:textFill>
            <w14:solidFill>
              <w14:schemeClr w14:val="tx1"/>
            </w14:solidFill>
          </w14:textFill>
        </w:rPr>
        <w:t>截至2025年年末，本行绿色贷款余额为555.87万元。</w:t>
      </w:r>
    </w:p>
    <w:p w14:paraId="090FD365">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Chars="0" w:firstLine="640" w:firstLineChars="200"/>
        <w:textAlignment w:val="auto"/>
        <w:rPr>
          <w:rFonts w:hint="eastAsia" w:ascii="仿宋" w:hAnsi="仿宋" w:eastAsia="仿宋" w:cs="仿宋"/>
          <w:sz w:val="32"/>
          <w:szCs w:val="32"/>
          <w:highlight w:val="none"/>
        </w:rPr>
      </w:pPr>
      <w:r>
        <w:rPr>
          <w:rFonts w:hint="eastAsia" w:ascii="仿宋" w:hAnsi="仿宋" w:eastAsia="仿宋" w:cs="仿宋"/>
          <w:sz w:val="32"/>
          <w:szCs w:val="32"/>
          <w:highlight w:val="none"/>
          <w:lang w:val="en-US" w:eastAsia="zh-CN"/>
        </w:rPr>
        <w:t>2、</w:t>
      </w:r>
      <w:r>
        <w:rPr>
          <w:rFonts w:hint="eastAsia" w:ascii="仿宋" w:hAnsi="仿宋" w:eastAsia="仿宋" w:cs="仿宋"/>
          <w:sz w:val="32"/>
          <w:szCs w:val="32"/>
          <w:highlight w:val="none"/>
        </w:rPr>
        <w:t>投融资结构较之前年度的变动及</w:t>
      </w:r>
      <w:r>
        <w:rPr>
          <w:rFonts w:hint="eastAsia" w:ascii="仿宋" w:hAnsi="仿宋" w:eastAsia="仿宋" w:cs="仿宋"/>
          <w:sz w:val="32"/>
          <w:szCs w:val="32"/>
          <w:highlight w:val="none"/>
          <w:lang w:val="en-US" w:eastAsia="zh-CN"/>
        </w:rPr>
        <w:t>变化带来的</w:t>
      </w:r>
      <w:r>
        <w:rPr>
          <w:rFonts w:hint="eastAsia" w:ascii="仿宋" w:hAnsi="仿宋" w:eastAsia="仿宋" w:cs="仿宋"/>
          <w:sz w:val="32"/>
          <w:szCs w:val="32"/>
          <w:highlight w:val="none"/>
        </w:rPr>
        <w:t>影响</w:t>
      </w:r>
      <w:r>
        <w:rPr>
          <w:rFonts w:hint="eastAsia" w:ascii="仿宋" w:hAnsi="仿宋" w:eastAsia="仿宋" w:cs="仿宋"/>
          <w:sz w:val="32"/>
          <w:szCs w:val="32"/>
          <w:highlight w:val="none"/>
          <w:lang w:eastAsia="zh-CN"/>
        </w:rPr>
        <w:t>；</w:t>
      </w:r>
    </w:p>
    <w:p w14:paraId="6DFC56C2">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Chars="0" w:firstLine="640" w:firstLineChars="200"/>
        <w:textAlignment w:val="auto"/>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本行根据银监会《关于报送绿色信贷统计表的通知》（银 监办发〔2013〕185 号）的监管统计填报规则，及银保监会2020年5月发布的《绿色信贷项目节能减排量测算指引》测算绿色信贷的环境影响，主要数据来源于绿色信贷项目的可研报告和立项批复等文件。受客观条件限制，本行在相关制度文件中无法获取有关本行绿色贷款碳排放因子的数据，无法准确计算其碳减排量。</w:t>
      </w:r>
    </w:p>
    <w:p w14:paraId="3CA6B6E4">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eastAsia" w:ascii="仿宋" w:hAnsi="仿宋" w:eastAsia="仿宋" w:cs="仿宋"/>
          <w:sz w:val="32"/>
          <w:szCs w:val="32"/>
          <w:highlight w:val="none"/>
          <w:lang w:eastAsia="zh-CN"/>
        </w:rPr>
      </w:pPr>
      <w:r>
        <w:rPr>
          <w:rFonts w:hint="eastAsia" w:ascii="仿宋" w:hAnsi="仿宋" w:eastAsia="仿宋" w:cs="仿宋"/>
          <w:sz w:val="32"/>
          <w:szCs w:val="32"/>
          <w:highlight w:val="none"/>
          <w:lang w:val="en-US" w:eastAsia="zh-CN"/>
        </w:rPr>
        <w:t>3、</w:t>
      </w:r>
      <w:r>
        <w:rPr>
          <w:rFonts w:hint="eastAsia" w:ascii="仿宋" w:hAnsi="仿宋" w:eastAsia="仿宋" w:cs="仿宋"/>
          <w:sz w:val="32"/>
          <w:szCs w:val="32"/>
          <w:highlight w:val="none"/>
        </w:rPr>
        <w:t>绿色投融资</w:t>
      </w:r>
      <w:r>
        <w:rPr>
          <w:rFonts w:hint="eastAsia" w:ascii="仿宋" w:hAnsi="仿宋" w:eastAsia="仿宋" w:cs="仿宋"/>
          <w:sz w:val="32"/>
          <w:szCs w:val="32"/>
          <w:highlight w:val="none"/>
          <w:lang w:val="en-US" w:eastAsia="zh-CN"/>
        </w:rPr>
        <w:t>案例及</w:t>
      </w:r>
      <w:r>
        <w:rPr>
          <w:rFonts w:hint="eastAsia" w:ascii="仿宋" w:hAnsi="仿宋" w:eastAsia="仿宋" w:cs="仿宋"/>
          <w:sz w:val="32"/>
          <w:szCs w:val="32"/>
          <w:highlight w:val="none"/>
        </w:rPr>
        <w:t>政策执行效果</w:t>
      </w:r>
    </w:p>
    <w:p w14:paraId="2C253CB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40" w:firstLineChars="200"/>
        <w:jc w:val="both"/>
        <w:textAlignment w:val="auto"/>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在践行普惠金融使命的实践中，桂阳沪农商村镇银行创新绿色金融服务模式，有效破解县域分布式光伏项目融资难题。2020年以来，桂阳县域内长沙**太阳能有限公司与桂阳县**生态农业有限公司联合推进乡镇居民屋顶光伏项目，累计覆盖十余个乡镇。面对装机容量小（3-12kW）、融资需求分散（单户3-15万元）、服务半径大等现实挑战，该行主动突破传统信贷服务边界：通过下沉服务网络完成37个自然村实地尽调，创新"惠能贷"产品实行差异化审批机制，建立绿色通道实现72小时放款。最终以352万元专项信贷支持，成功带动农户增收，实现碳减排，形成"绿色投资+农户创收+生态效益"的三重价值闭环。该案例为县域金融机构开展"小而美"绿色金融服务提供了可复制的操作范式。</w:t>
      </w:r>
    </w:p>
    <w:p w14:paraId="7B2B81AE">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drawing>
          <wp:inline distT="0" distB="0" distL="114300" distR="114300">
            <wp:extent cx="2474595" cy="1971040"/>
            <wp:effectExtent l="0" t="0" r="1905" b="10160"/>
            <wp:docPr id="3" name="图片 3" descr="2adb7e1908ebf42616f8a6b423dec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adb7e1908ebf42616f8a6b423decad"/>
                    <pic:cNvPicPr>
                      <a:picLocks noChangeAspect="1"/>
                    </pic:cNvPicPr>
                  </pic:nvPicPr>
                  <pic:blipFill>
                    <a:blip r:embed="rId7"/>
                    <a:stretch>
                      <a:fillRect/>
                    </a:stretch>
                  </pic:blipFill>
                  <pic:spPr>
                    <a:xfrm>
                      <a:off x="0" y="0"/>
                      <a:ext cx="2474595" cy="1971040"/>
                    </a:xfrm>
                    <a:prstGeom prst="rect">
                      <a:avLst/>
                    </a:prstGeom>
                  </pic:spPr>
                </pic:pic>
              </a:graphicData>
            </a:graphic>
          </wp:inline>
        </w:drawing>
      </w:r>
      <w:r>
        <w:rPr>
          <w:highlight w:val="none"/>
        </w:rPr>
        <w:drawing>
          <wp:inline distT="0" distB="0" distL="114300" distR="114300">
            <wp:extent cx="2514600" cy="1973580"/>
            <wp:effectExtent l="0" t="0" r="0" b="7620"/>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8"/>
                    <a:stretch>
                      <a:fillRect/>
                    </a:stretch>
                  </pic:blipFill>
                  <pic:spPr>
                    <a:xfrm>
                      <a:off x="0" y="0"/>
                      <a:ext cx="2514600" cy="1973580"/>
                    </a:xfrm>
                    <a:prstGeom prst="rect">
                      <a:avLst/>
                    </a:prstGeom>
                    <a:noFill/>
                    <a:ln>
                      <a:noFill/>
                    </a:ln>
                  </pic:spPr>
                </pic:pic>
              </a:graphicData>
            </a:graphic>
          </wp:inline>
        </w:drawing>
      </w:r>
    </w:p>
    <w:p w14:paraId="2F4C7083">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桂阳县太和镇湾塘村是中药材黄精种植基地，是湖南省中药材黄精种植示范基地之一，黄精种植规模首区一指。黄精食之性味甘甜、爽口，又是很多中药配方的主要材料，既可以充饥，又可以健身。在疫情防控期间销量不断增长，种植户们为扩大种植规模需购买切割机、烘干机等设备，但资金成了他们的难题。本行在了解农户的融资需求后，及时入村调查，掌握玉竹的种植、收割、加工、销售等情况，与村组签订整村授信合作协议，为种植户逐一量身制定“惠民贷”授信方案，为超过70余户药材种植户提供超过800万元授信，促进了黄精种植产业的健康发展。</w:t>
      </w:r>
    </w:p>
    <w:p w14:paraId="3CF28C5A">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firstLine="640" w:firstLineChars="200"/>
        <w:jc w:val="both"/>
        <w:textAlignment w:val="auto"/>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 xml:space="preserve">   </w:t>
      </w:r>
      <w:r>
        <w:rPr>
          <w:rFonts w:hint="eastAsia" w:ascii="仿宋" w:hAnsi="仿宋" w:eastAsia="仿宋" w:cs="仿宋"/>
          <w:color w:val="auto"/>
          <w:sz w:val="32"/>
          <w:szCs w:val="32"/>
          <w:highlight w:val="none"/>
          <w:lang w:val="en-US" w:eastAsia="zh-CN"/>
        </w:rPr>
        <w:drawing>
          <wp:inline distT="0" distB="0" distL="114300" distR="114300">
            <wp:extent cx="4126230" cy="3093720"/>
            <wp:effectExtent l="0" t="0" r="1270" b="5080"/>
            <wp:docPr id="16" name="图片 16" descr="e94256a11d5d9b4c2d76ab73980fe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94256a11d5d9b4c2d76ab73980fe896"/>
                    <pic:cNvPicPr>
                      <a:picLocks noChangeAspect="1"/>
                    </pic:cNvPicPr>
                  </pic:nvPicPr>
                  <pic:blipFill>
                    <a:blip r:embed="rId9"/>
                    <a:stretch>
                      <a:fillRect/>
                    </a:stretch>
                  </pic:blipFill>
                  <pic:spPr>
                    <a:xfrm>
                      <a:off x="0" y="0"/>
                      <a:ext cx="4126230" cy="3093720"/>
                    </a:xfrm>
                    <a:prstGeom prst="rect">
                      <a:avLst/>
                    </a:prstGeom>
                  </pic:spPr>
                </pic:pic>
              </a:graphicData>
            </a:graphic>
          </wp:inline>
        </w:drawing>
      </w:r>
    </w:p>
    <w:p w14:paraId="1AC90472">
      <w:pPr>
        <w:keepNext w:val="0"/>
        <w:keepLines w:val="0"/>
        <w:pageBreakBefore w:val="0"/>
        <w:widowControl w:val="0"/>
        <w:numPr>
          <w:ilvl w:val="0"/>
          <w:numId w:val="0"/>
        </w:numPr>
        <w:kinsoku/>
        <w:wordWrap/>
        <w:overflowPunct/>
        <w:topLinePunct w:val="0"/>
        <w:autoSpaceDE/>
        <w:autoSpaceDN/>
        <w:bidi w:val="0"/>
        <w:adjustRightInd/>
        <w:snapToGrid/>
        <w:spacing w:line="240" w:lineRule="atLeast"/>
        <w:jc w:val="both"/>
        <w:textAlignment w:val="auto"/>
        <w:rPr>
          <w:rFonts w:hint="eastAsia" w:ascii="仿宋" w:hAnsi="仿宋" w:eastAsia="仿宋" w:cs="仿宋"/>
          <w:b/>
          <w:bCs/>
          <w:color w:val="auto"/>
          <w:sz w:val="32"/>
          <w:szCs w:val="32"/>
          <w:highlight w:val="none"/>
          <w:lang w:val="en-US" w:eastAsia="zh-CN"/>
        </w:rPr>
      </w:pPr>
      <w:r>
        <w:rPr>
          <w:rFonts w:hint="eastAsia" w:ascii="仿宋" w:hAnsi="仿宋" w:eastAsia="仿宋" w:cs="仿宋"/>
          <w:color w:val="auto"/>
          <w:sz w:val="32"/>
          <w:szCs w:val="32"/>
          <w:highlight w:val="none"/>
          <w:lang w:val="en-US" w:eastAsia="zh-CN"/>
        </w:rPr>
        <w:t xml:space="preserve">     </w:t>
      </w:r>
      <w:r>
        <w:rPr>
          <w:rFonts w:hint="eastAsia" w:ascii="仿宋" w:hAnsi="仿宋" w:eastAsia="仿宋" w:cs="仿宋"/>
          <w:b/>
          <w:bCs/>
          <w:color w:val="auto"/>
          <w:sz w:val="32"/>
          <w:szCs w:val="32"/>
          <w:highlight w:val="none"/>
          <w:lang w:val="en-US" w:eastAsia="zh-CN"/>
        </w:rPr>
        <w:t>九、经营活动的环境影响</w:t>
      </w:r>
    </w:p>
    <w:p w14:paraId="4E408134">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firstLine="643" w:firstLineChars="200"/>
        <w:jc w:val="both"/>
        <w:textAlignment w:val="auto"/>
        <w:rPr>
          <w:rFonts w:hint="eastAsia" w:ascii="仿宋" w:hAnsi="仿宋" w:eastAsia="仿宋" w:cs="仿宋"/>
          <w:sz w:val="32"/>
          <w:szCs w:val="32"/>
          <w:highlight w:val="none"/>
        </w:rPr>
      </w:pPr>
      <w:r>
        <w:rPr>
          <w:rFonts w:hint="eastAsia" w:ascii="仿宋" w:hAnsi="仿宋" w:eastAsia="仿宋" w:cs="仿宋"/>
          <w:b/>
          <w:bCs/>
          <w:sz w:val="32"/>
          <w:szCs w:val="32"/>
          <w:highlight w:val="none"/>
        </w:rPr>
        <w:t>（一）经营活动温室气体排放与资源消耗计算</w:t>
      </w:r>
    </w:p>
    <w:p w14:paraId="3412327B">
      <w:pPr>
        <w:keepNext w:val="0"/>
        <w:keepLines w:val="0"/>
        <w:pageBreakBefore w:val="0"/>
        <w:widowControl w:val="0"/>
        <w:kinsoku/>
        <w:wordWrap/>
        <w:overflowPunct/>
        <w:topLinePunct w:val="0"/>
        <w:autoSpaceDE/>
        <w:autoSpaceDN/>
        <w:bidi w:val="0"/>
        <w:adjustRightInd/>
        <w:snapToGrid/>
        <w:spacing w:before="58" w:line="500" w:lineRule="exact"/>
        <w:ind w:right="0" w:firstLine="643" w:firstLineChars="200"/>
        <w:jc w:val="left"/>
        <w:textAlignment w:val="auto"/>
        <w:rPr>
          <w:rFonts w:hint="eastAsia" w:ascii="仿宋" w:hAnsi="仿宋" w:eastAsia="仿宋" w:cs="仿宋"/>
          <w:b/>
          <w:sz w:val="32"/>
          <w:szCs w:val="32"/>
          <w:highlight w:val="none"/>
        </w:rPr>
      </w:pPr>
      <w:r>
        <w:rPr>
          <w:rFonts w:hint="eastAsia" w:ascii="仿宋" w:hAnsi="仿宋" w:eastAsia="仿宋" w:cs="仿宋"/>
          <w:b/>
          <w:sz w:val="32"/>
          <w:szCs w:val="32"/>
          <w:highlight w:val="none"/>
          <w:lang w:eastAsia="zh-CN"/>
        </w:rPr>
        <w:t>本</w:t>
      </w:r>
      <w:r>
        <w:rPr>
          <w:rFonts w:hint="eastAsia" w:ascii="仿宋" w:hAnsi="仿宋" w:eastAsia="仿宋" w:cs="仿宋"/>
          <w:b/>
          <w:sz w:val="32"/>
          <w:szCs w:val="32"/>
          <w:highlight w:val="none"/>
        </w:rPr>
        <w:t>行经营活动产生的直接及间接自然资源消耗：</w:t>
      </w:r>
    </w:p>
    <w:tbl>
      <w:tblPr>
        <w:tblStyle w:val="12"/>
        <w:tblW w:w="8513"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3918"/>
        <w:gridCol w:w="3635"/>
        <w:gridCol w:w="960"/>
      </w:tblGrid>
      <w:tr w14:paraId="2963F8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tblHeader/>
          <w:jc w:val="center"/>
        </w:trPr>
        <w:tc>
          <w:tcPr>
            <w:tcW w:w="960" w:type="dxa"/>
            <w:gridSpan w:val="3"/>
            <w:vAlign w:val="center"/>
          </w:tcPr>
          <w:p w14:paraId="2CAE119D">
            <w:pPr>
              <w:pStyle w:val="16"/>
              <w:keepNext/>
              <w:keepLines w:val="0"/>
              <w:pageBreakBefore w:val="0"/>
              <w:widowControl w:val="0"/>
              <w:kinsoku/>
              <w:wordWrap/>
              <w:overflowPunct/>
              <w:topLinePunct w:val="0"/>
              <w:autoSpaceDE/>
              <w:autoSpaceDN/>
              <w:bidi w:val="0"/>
              <w:adjustRightInd/>
              <w:snapToGrid w:val="0"/>
              <w:spacing w:before="107" w:line="240" w:lineRule="auto"/>
              <w:ind w:left="0" w:leftChars="0" w:right="0" w:rightChars="0" w:firstLine="0" w:firstLineChars="0"/>
              <w:textAlignment w:val="auto"/>
              <w:rPr>
                <w:rFonts w:hint="eastAsia" w:ascii="仿宋" w:hAnsi="仿宋" w:eastAsia="仿宋" w:cs="仿宋"/>
                <w:b/>
                <w:sz w:val="24"/>
                <w:szCs w:val="24"/>
                <w:highlight w:val="none"/>
              </w:rPr>
            </w:pPr>
            <w:r>
              <w:rPr>
                <w:rFonts w:hint="eastAsia" w:ascii="仿宋" w:hAnsi="仿宋" w:eastAsia="仿宋" w:cs="仿宋"/>
                <w:b/>
                <w:sz w:val="24"/>
                <w:szCs w:val="24"/>
                <w:highlight w:val="none"/>
                <w:lang w:eastAsia="zh-CN"/>
              </w:rPr>
              <w:t>202</w:t>
            </w:r>
            <w:r>
              <w:rPr>
                <w:rFonts w:hint="eastAsia" w:ascii="仿宋" w:hAnsi="仿宋" w:eastAsia="仿宋" w:cs="仿宋"/>
                <w:b/>
                <w:sz w:val="24"/>
                <w:szCs w:val="24"/>
                <w:highlight w:val="none"/>
                <w:lang w:val="en-US" w:eastAsia="zh-CN"/>
              </w:rPr>
              <w:t>5</w:t>
            </w:r>
            <w:r>
              <w:rPr>
                <w:rFonts w:hint="eastAsia" w:ascii="仿宋" w:hAnsi="仿宋" w:eastAsia="仿宋" w:cs="仿宋"/>
                <w:b/>
                <w:sz w:val="24"/>
                <w:szCs w:val="24"/>
                <w:highlight w:val="none"/>
              </w:rPr>
              <w:t>年经营活动产生的自然资源消耗</w:t>
            </w:r>
          </w:p>
        </w:tc>
      </w:tr>
      <w:tr w14:paraId="64CE1B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tblHeader/>
          <w:jc w:val="center"/>
        </w:trPr>
        <w:tc>
          <w:tcPr>
            <w:tcW w:w="0" w:type="auto"/>
            <w:vAlign w:val="center"/>
          </w:tcPr>
          <w:p w14:paraId="5545D932">
            <w:pPr>
              <w:pStyle w:val="16"/>
              <w:keepNext/>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指标类型</w:t>
            </w:r>
          </w:p>
        </w:tc>
        <w:tc>
          <w:tcPr>
            <w:tcW w:w="0" w:type="auto"/>
            <w:vAlign w:val="center"/>
          </w:tcPr>
          <w:p w14:paraId="42326967">
            <w:pPr>
              <w:pStyle w:val="16"/>
              <w:keepNext/>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指标名称</w:t>
            </w:r>
          </w:p>
        </w:tc>
        <w:tc>
          <w:tcPr>
            <w:tcW w:w="960" w:type="dxa"/>
            <w:vAlign w:val="center"/>
          </w:tcPr>
          <w:p w14:paraId="2FD465B7">
            <w:pPr>
              <w:pStyle w:val="16"/>
              <w:keepNext/>
              <w:keepLines w:val="0"/>
              <w:pageBreakBefore w:val="0"/>
              <w:widowControl w:val="0"/>
              <w:kinsoku/>
              <w:wordWrap/>
              <w:overflowPunct/>
              <w:topLinePunct w:val="0"/>
              <w:autoSpaceDE/>
              <w:autoSpaceDN/>
              <w:bidi w:val="0"/>
              <w:adjustRightInd/>
              <w:snapToGrid w:val="0"/>
              <w:spacing w:before="211" w:line="240" w:lineRule="auto"/>
              <w:ind w:left="0" w:leftChars="0" w:right="0" w:rightChars="0" w:firstLine="0" w:firstLineChars="0"/>
              <w:jc w:val="center"/>
              <w:textAlignment w:val="auto"/>
              <w:rPr>
                <w:rFonts w:hint="default"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2025年</w:t>
            </w:r>
          </w:p>
        </w:tc>
      </w:tr>
      <w:tr w14:paraId="0B0558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0" w:type="auto"/>
            <w:vMerge w:val="restart"/>
            <w:vAlign w:val="center"/>
          </w:tcPr>
          <w:p w14:paraId="48A578D7">
            <w:pPr>
              <w:pStyle w:val="16"/>
              <w:keepNext/>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经营活动直接产生的温室气体排放和自然资源消耗</w:t>
            </w:r>
          </w:p>
        </w:tc>
        <w:tc>
          <w:tcPr>
            <w:tcW w:w="0" w:type="auto"/>
            <w:vAlign w:val="center"/>
          </w:tcPr>
          <w:p w14:paraId="0A7F4CA2">
            <w:pPr>
              <w:pStyle w:val="16"/>
              <w:keepNext/>
              <w:keepLines w:val="0"/>
              <w:pageBreakBefore w:val="0"/>
              <w:widowControl w:val="0"/>
              <w:kinsoku/>
              <w:wordWrap/>
              <w:overflowPunct/>
              <w:topLinePunct w:val="0"/>
              <w:autoSpaceDE/>
              <w:autoSpaceDN/>
              <w:bidi w:val="0"/>
              <w:adjustRightInd/>
              <w:snapToGrid w:val="0"/>
              <w:spacing w:before="56" w:line="240" w:lineRule="auto"/>
              <w:ind w:left="0" w:leftChars="0" w:right="0" w:rightChars="0" w:firstLine="0" w:firstLineChars="0"/>
              <w:jc w:val="center"/>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金融机构自有交通运输工具所消耗的汽油量（</w:t>
            </w:r>
            <w:r>
              <w:rPr>
                <w:rFonts w:hint="eastAsia" w:ascii="仿宋" w:hAnsi="仿宋" w:eastAsia="仿宋" w:cs="仿宋"/>
                <w:sz w:val="24"/>
                <w:szCs w:val="24"/>
                <w:highlight w:val="none"/>
                <w:lang w:val="en-US" w:eastAsia="zh-CN"/>
              </w:rPr>
              <w:t>升</w:t>
            </w:r>
            <w:r>
              <w:rPr>
                <w:rFonts w:hint="eastAsia" w:ascii="仿宋" w:hAnsi="仿宋" w:eastAsia="仿宋" w:cs="仿宋"/>
                <w:sz w:val="24"/>
                <w:szCs w:val="24"/>
                <w:highlight w:val="none"/>
              </w:rPr>
              <w:t>）</w:t>
            </w:r>
          </w:p>
        </w:tc>
        <w:tc>
          <w:tcPr>
            <w:tcW w:w="960" w:type="dxa"/>
            <w:shd w:val="clear" w:color="auto" w:fill="auto"/>
            <w:vAlign w:val="center"/>
          </w:tcPr>
          <w:p w14:paraId="2A867C66">
            <w:pPr>
              <w:keepNext/>
              <w:bidi w:val="0"/>
              <w:snapToGrid w:val="0"/>
              <w:ind w:left="0" w:leftChars="0" w:right="0" w:rightChars="0" w:firstLine="240" w:firstLineChars="100"/>
              <w:jc w:val="both"/>
              <w:rPr>
                <w:rFonts w:hint="default" w:ascii="仿宋" w:eastAsia="仿宋"/>
                <w:sz w:val="24"/>
                <w:lang w:val="en-US" w:eastAsia="zh-CN"/>
              </w:rPr>
            </w:pPr>
            <w:r>
              <w:rPr>
                <w:rFonts w:hint="default" w:ascii="仿宋" w:eastAsia="仿宋"/>
                <w:sz w:val="24"/>
                <w:lang w:val="en-US" w:eastAsia="zh-CN"/>
              </w:rPr>
              <w:t>984</w:t>
            </w:r>
          </w:p>
        </w:tc>
      </w:tr>
      <w:tr w14:paraId="4700C6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0" w:type="auto"/>
            <w:vMerge w:val="continue"/>
            <w:tcBorders>
              <w:top w:val="nil"/>
            </w:tcBorders>
            <w:vAlign w:val="center"/>
          </w:tcPr>
          <w:p w14:paraId="68B94E83">
            <w:pPr>
              <w:keepNext/>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 w:hAnsi="仿宋" w:eastAsia="仿宋" w:cs="仿宋"/>
                <w:sz w:val="24"/>
                <w:szCs w:val="24"/>
                <w:highlight w:val="none"/>
              </w:rPr>
            </w:pPr>
          </w:p>
        </w:tc>
        <w:tc>
          <w:tcPr>
            <w:tcW w:w="0" w:type="auto"/>
            <w:vAlign w:val="center"/>
          </w:tcPr>
          <w:p w14:paraId="25835871">
            <w:pPr>
              <w:pStyle w:val="16"/>
              <w:keepNext/>
              <w:keepLines w:val="0"/>
              <w:pageBreakBefore w:val="0"/>
              <w:widowControl w:val="0"/>
              <w:kinsoku/>
              <w:wordWrap/>
              <w:overflowPunct/>
              <w:topLinePunct w:val="0"/>
              <w:autoSpaceDE/>
              <w:autoSpaceDN/>
              <w:bidi w:val="0"/>
              <w:adjustRightInd/>
              <w:snapToGrid w:val="0"/>
              <w:spacing w:before="55" w:line="240" w:lineRule="auto"/>
              <w:ind w:left="0" w:leftChars="0" w:right="0" w:rightChars="0" w:firstLine="0" w:firstLineChars="0"/>
              <w:jc w:val="center"/>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营业、办公活动所消耗的液化石油气（立方米）</w:t>
            </w:r>
          </w:p>
        </w:tc>
        <w:tc>
          <w:tcPr>
            <w:tcW w:w="960" w:type="dxa"/>
            <w:vAlign w:val="center"/>
          </w:tcPr>
          <w:p w14:paraId="34CF2F5A">
            <w:pPr>
              <w:pStyle w:val="16"/>
              <w:keepNext/>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241880</w:t>
            </w:r>
          </w:p>
        </w:tc>
      </w:tr>
      <w:tr w14:paraId="68CC34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0" w:type="auto"/>
            <w:vMerge w:val="continue"/>
            <w:tcBorders>
              <w:top w:val="nil"/>
            </w:tcBorders>
            <w:vAlign w:val="center"/>
          </w:tcPr>
          <w:p w14:paraId="40A279A3">
            <w:pPr>
              <w:keepNext/>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 w:hAnsi="仿宋" w:eastAsia="仿宋" w:cs="仿宋"/>
                <w:sz w:val="24"/>
                <w:szCs w:val="24"/>
                <w:highlight w:val="none"/>
              </w:rPr>
            </w:pPr>
          </w:p>
        </w:tc>
        <w:tc>
          <w:tcPr>
            <w:tcW w:w="0" w:type="auto"/>
            <w:vAlign w:val="center"/>
          </w:tcPr>
          <w:p w14:paraId="02C2D4F3">
            <w:pPr>
              <w:pStyle w:val="16"/>
              <w:keepNext/>
              <w:keepLines w:val="0"/>
              <w:pageBreakBefore w:val="0"/>
              <w:widowControl w:val="0"/>
              <w:kinsoku/>
              <w:wordWrap/>
              <w:overflowPunct/>
              <w:topLinePunct w:val="0"/>
              <w:autoSpaceDE/>
              <w:autoSpaceDN/>
              <w:bidi w:val="0"/>
              <w:adjustRightInd/>
              <w:snapToGrid w:val="0"/>
              <w:spacing w:before="73" w:line="240" w:lineRule="auto"/>
              <w:ind w:left="0" w:leftChars="0" w:right="0" w:rightChars="0" w:firstLine="0" w:firstLineChars="0"/>
              <w:jc w:val="center"/>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营业、办公活动所消耗的水</w:t>
            </w:r>
          </w:p>
          <w:p w14:paraId="42D1A340">
            <w:pPr>
              <w:pStyle w:val="16"/>
              <w:keepNext/>
              <w:keepLines w:val="0"/>
              <w:pageBreakBefore w:val="0"/>
              <w:widowControl w:val="0"/>
              <w:kinsoku/>
              <w:wordWrap/>
              <w:overflowPunct/>
              <w:topLinePunct w:val="0"/>
              <w:autoSpaceDE/>
              <w:autoSpaceDN/>
              <w:bidi w:val="0"/>
              <w:adjustRightInd/>
              <w:snapToGrid w:val="0"/>
              <w:spacing w:before="30" w:line="240" w:lineRule="auto"/>
              <w:ind w:left="0" w:leftChars="0" w:right="0" w:rightChars="0" w:firstLine="0" w:firstLineChars="0"/>
              <w:jc w:val="center"/>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（吨）</w:t>
            </w:r>
          </w:p>
        </w:tc>
        <w:tc>
          <w:tcPr>
            <w:tcW w:w="960" w:type="dxa"/>
            <w:vAlign w:val="center"/>
          </w:tcPr>
          <w:p w14:paraId="360574E5">
            <w:pPr>
              <w:pStyle w:val="16"/>
              <w:keepNext/>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665.58</w:t>
            </w:r>
          </w:p>
        </w:tc>
      </w:tr>
      <w:tr w14:paraId="6EC5FE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0" w:type="auto"/>
            <w:vMerge w:val="restart"/>
            <w:vAlign w:val="center"/>
          </w:tcPr>
          <w:p w14:paraId="00FFE0F1">
            <w:pPr>
              <w:pStyle w:val="16"/>
              <w:keepNext/>
              <w:keepLines w:val="0"/>
              <w:pageBreakBefore w:val="0"/>
              <w:widowControl w:val="0"/>
              <w:kinsoku/>
              <w:wordWrap/>
              <w:overflowPunct/>
              <w:topLinePunct w:val="0"/>
              <w:autoSpaceDE/>
              <w:autoSpaceDN/>
              <w:bidi w:val="0"/>
              <w:adjustRightInd/>
              <w:snapToGrid w:val="0"/>
              <w:spacing w:before="165" w:line="240" w:lineRule="auto"/>
              <w:ind w:left="0" w:leftChars="0" w:right="0" w:rightChars="0" w:firstLine="0" w:firstLineChars="0"/>
              <w:jc w:val="center"/>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采购的产品或服务所产生的间接温室气体和间接自然消耗</w:t>
            </w:r>
          </w:p>
        </w:tc>
        <w:tc>
          <w:tcPr>
            <w:tcW w:w="0" w:type="auto"/>
            <w:vAlign w:val="center"/>
          </w:tcPr>
          <w:p w14:paraId="6ACCB649">
            <w:pPr>
              <w:pStyle w:val="16"/>
              <w:keepNext/>
              <w:keepLines w:val="0"/>
              <w:pageBreakBefore w:val="0"/>
              <w:widowControl w:val="0"/>
              <w:kinsoku/>
              <w:wordWrap/>
              <w:overflowPunct/>
              <w:topLinePunct w:val="0"/>
              <w:autoSpaceDE/>
              <w:autoSpaceDN/>
              <w:bidi w:val="0"/>
              <w:adjustRightInd/>
              <w:snapToGrid w:val="0"/>
              <w:spacing w:before="73" w:line="240" w:lineRule="auto"/>
              <w:ind w:left="0" w:leftChars="0" w:right="0" w:rightChars="0" w:firstLine="0" w:firstLineChars="0"/>
              <w:jc w:val="center"/>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营业、办公活动所消耗的电力</w:t>
            </w:r>
          </w:p>
          <w:p w14:paraId="1CEB3B6B">
            <w:pPr>
              <w:pStyle w:val="16"/>
              <w:keepNext/>
              <w:keepLines w:val="0"/>
              <w:pageBreakBefore w:val="0"/>
              <w:widowControl w:val="0"/>
              <w:kinsoku/>
              <w:wordWrap/>
              <w:overflowPunct/>
              <w:topLinePunct w:val="0"/>
              <w:autoSpaceDE/>
              <w:autoSpaceDN/>
              <w:bidi w:val="0"/>
              <w:adjustRightInd/>
              <w:snapToGrid w:val="0"/>
              <w:spacing w:before="30" w:line="240" w:lineRule="auto"/>
              <w:ind w:left="0" w:leftChars="0" w:right="0" w:rightChars="0" w:firstLine="0" w:firstLineChars="0"/>
              <w:jc w:val="center"/>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（万瓦时）</w:t>
            </w:r>
          </w:p>
        </w:tc>
        <w:tc>
          <w:tcPr>
            <w:tcW w:w="960" w:type="dxa"/>
            <w:vAlign w:val="center"/>
          </w:tcPr>
          <w:p w14:paraId="594C0728">
            <w:pPr>
              <w:pStyle w:val="16"/>
              <w:keepNext/>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2766</w:t>
            </w:r>
          </w:p>
        </w:tc>
      </w:tr>
      <w:tr w14:paraId="55A23C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3918" w:type="dxa"/>
            <w:vMerge w:val="continue"/>
            <w:tcBorders>
              <w:top w:val="nil"/>
            </w:tcBorders>
            <w:vAlign w:val="center"/>
          </w:tcPr>
          <w:p w14:paraId="4C7B15C2">
            <w:pPr>
              <w:keepNext/>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 w:hAnsi="仿宋" w:eastAsia="仿宋" w:cs="仿宋"/>
                <w:sz w:val="24"/>
                <w:szCs w:val="24"/>
                <w:highlight w:val="none"/>
              </w:rPr>
            </w:pPr>
          </w:p>
        </w:tc>
        <w:tc>
          <w:tcPr>
            <w:tcW w:w="3635" w:type="dxa"/>
            <w:vAlign w:val="center"/>
          </w:tcPr>
          <w:p w14:paraId="75921F05">
            <w:pPr>
              <w:pStyle w:val="16"/>
              <w:keepNext/>
              <w:keepLines w:val="0"/>
              <w:pageBreakBefore w:val="0"/>
              <w:widowControl w:val="0"/>
              <w:kinsoku/>
              <w:wordWrap/>
              <w:overflowPunct/>
              <w:topLinePunct w:val="0"/>
              <w:autoSpaceDE/>
              <w:autoSpaceDN/>
              <w:bidi w:val="0"/>
              <w:adjustRightInd/>
              <w:snapToGrid w:val="0"/>
              <w:spacing w:before="72" w:line="240" w:lineRule="auto"/>
              <w:ind w:left="0" w:leftChars="0" w:right="0" w:rightChars="0" w:firstLine="0" w:firstLineChars="0"/>
              <w:jc w:val="center"/>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营业、办公活动所使用的纸张</w:t>
            </w:r>
          </w:p>
          <w:p w14:paraId="6E8D64B5">
            <w:pPr>
              <w:pStyle w:val="16"/>
              <w:keepNext/>
              <w:keepLines w:val="0"/>
              <w:pageBreakBefore w:val="0"/>
              <w:widowControl w:val="0"/>
              <w:kinsoku/>
              <w:wordWrap/>
              <w:overflowPunct/>
              <w:topLinePunct w:val="0"/>
              <w:autoSpaceDE/>
              <w:autoSpaceDN/>
              <w:bidi w:val="0"/>
              <w:adjustRightInd/>
              <w:snapToGrid w:val="0"/>
              <w:spacing w:before="31" w:line="240" w:lineRule="auto"/>
              <w:ind w:left="0" w:leftChars="0" w:right="0" w:rightChars="0" w:firstLine="0" w:firstLineChars="0"/>
              <w:jc w:val="center"/>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w:t>
            </w:r>
            <w:r>
              <w:rPr>
                <w:rFonts w:hint="eastAsia" w:ascii="仿宋" w:hAnsi="仿宋" w:eastAsia="仿宋" w:cs="仿宋"/>
                <w:sz w:val="24"/>
                <w:szCs w:val="24"/>
                <w:highlight w:val="none"/>
                <w:lang w:val="en-US" w:eastAsia="zh-CN"/>
              </w:rPr>
              <w:t>箱</w:t>
            </w:r>
            <w:r>
              <w:rPr>
                <w:rFonts w:hint="eastAsia" w:ascii="仿宋" w:hAnsi="仿宋" w:eastAsia="仿宋" w:cs="仿宋"/>
                <w:sz w:val="24"/>
                <w:szCs w:val="24"/>
                <w:highlight w:val="none"/>
              </w:rPr>
              <w:t>）</w:t>
            </w:r>
          </w:p>
        </w:tc>
        <w:tc>
          <w:tcPr>
            <w:tcW w:w="960" w:type="dxa"/>
            <w:vAlign w:val="center"/>
          </w:tcPr>
          <w:p w14:paraId="4FC215AB">
            <w:pPr>
              <w:pStyle w:val="16"/>
              <w:keepNext/>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仿宋" w:hAnsi="仿宋" w:eastAsia="仿宋" w:cs="仿宋"/>
                <w:sz w:val="24"/>
                <w:szCs w:val="24"/>
                <w:highlight w:val="none"/>
                <w:lang w:val="en-US" w:eastAsia="zh-CN"/>
              </w:rPr>
            </w:pPr>
            <w:r>
              <w:rPr>
                <w:rFonts w:hint="default" w:ascii="仿宋" w:hAnsi="仿宋" w:eastAsia="仿宋" w:cs="仿宋"/>
                <w:sz w:val="24"/>
                <w:szCs w:val="24"/>
                <w:highlight w:val="none"/>
                <w:lang w:val="en-US" w:eastAsia="zh-CN"/>
              </w:rPr>
              <w:t>2766</w:t>
            </w:r>
          </w:p>
        </w:tc>
      </w:tr>
    </w:tbl>
    <w:p w14:paraId="152DF951">
      <w:pPr>
        <w:keepNext w:val="0"/>
        <w:keepLines w:val="0"/>
        <w:pageBreakBefore w:val="0"/>
        <w:kinsoku/>
        <w:wordWrap/>
        <w:overflowPunct/>
        <w:topLinePunct w:val="0"/>
        <w:autoSpaceDE/>
        <w:autoSpaceDN/>
        <w:bidi w:val="0"/>
        <w:adjustRightInd/>
        <w:snapToGrid/>
        <w:spacing w:before="208" w:line="540" w:lineRule="atLeast"/>
        <w:ind w:right="0" w:firstLine="640" w:firstLineChars="200"/>
        <w:jc w:val="left"/>
        <w:textAlignment w:val="auto"/>
        <w:rPr>
          <w:rFonts w:hint="eastAsia" w:ascii="仿宋" w:hAnsi="仿宋" w:eastAsia="仿宋" w:cs="仿宋"/>
          <w:sz w:val="32"/>
          <w:szCs w:val="32"/>
          <w:highlight w:val="none"/>
        </w:rPr>
      </w:pPr>
      <w:r>
        <w:rPr>
          <w:rFonts w:hint="eastAsia" w:ascii="仿宋" w:hAnsi="仿宋" w:eastAsia="仿宋" w:cs="仿宋"/>
          <w:sz w:val="32"/>
          <w:szCs w:val="32"/>
          <w:highlight w:val="none"/>
        </w:rPr>
        <w:t>注：95号汽油的密度为0.737g/ml</w:t>
      </w:r>
    </w:p>
    <w:p w14:paraId="1AA2EC1D">
      <w:pPr>
        <w:pStyle w:val="6"/>
        <w:keepNext w:val="0"/>
        <w:keepLines w:val="0"/>
        <w:pageBreakBefore w:val="0"/>
        <w:widowControl w:val="0"/>
        <w:numPr>
          <w:ilvl w:val="0"/>
          <w:numId w:val="0"/>
        </w:numPr>
        <w:kinsoku/>
        <w:wordWrap/>
        <w:overflowPunct/>
        <w:topLinePunct w:val="0"/>
        <w:autoSpaceDE/>
        <w:autoSpaceDN/>
        <w:bidi w:val="0"/>
        <w:adjustRightInd/>
        <w:snapToGrid/>
        <w:spacing w:before="54" w:line="600" w:lineRule="exact"/>
        <w:ind w:firstLine="643" w:firstLineChars="200"/>
        <w:textAlignment w:val="auto"/>
        <w:rPr>
          <w:rFonts w:hint="eastAsia" w:ascii="仿宋" w:hAnsi="仿宋" w:eastAsia="仿宋" w:cs="仿宋"/>
          <w:b/>
          <w:bCs/>
          <w:sz w:val="32"/>
          <w:szCs w:val="32"/>
          <w:highlight w:val="none"/>
          <w:lang w:val="en-US" w:eastAsia="zh-CN"/>
        </w:rPr>
      </w:pPr>
      <w:r>
        <w:rPr>
          <w:rFonts w:hint="eastAsia" w:ascii="仿宋" w:hAnsi="仿宋" w:eastAsia="仿宋" w:cs="仿宋"/>
          <w:b/>
          <w:bCs/>
          <w:sz w:val="32"/>
          <w:szCs w:val="32"/>
          <w:highlight w:val="none"/>
          <w:lang w:val="en-US" w:eastAsia="zh-CN"/>
        </w:rPr>
        <w:t>（二）经营活动环境影响的计算</w:t>
      </w:r>
    </w:p>
    <w:p w14:paraId="2AEFD087">
      <w:pPr>
        <w:pStyle w:val="6"/>
        <w:keepNext w:val="0"/>
        <w:keepLines w:val="0"/>
        <w:pageBreakBefore w:val="0"/>
        <w:widowControl w:val="0"/>
        <w:numPr>
          <w:ilvl w:val="0"/>
          <w:numId w:val="0"/>
        </w:numPr>
        <w:kinsoku/>
        <w:wordWrap/>
        <w:overflowPunct/>
        <w:topLinePunct w:val="0"/>
        <w:autoSpaceDE/>
        <w:autoSpaceDN/>
        <w:bidi w:val="0"/>
        <w:adjustRightInd/>
        <w:snapToGrid/>
        <w:spacing w:before="54" w:line="600" w:lineRule="exact"/>
        <w:ind w:firstLine="640" w:firstLineChars="200"/>
        <w:textAlignment w:val="auto"/>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此次环境数据披露的边界设定依据《温室气体核算体系： 企业核算和报告标准》中提供的运营控制权法进行界定，为本行本部和下辖2家支行，在2025年1月1日至2025年12月31日期间内产生的排放。此次环境数据的计算依据为《温室气体核算体系：企业核算体系与报告标准》依此标准确定了本行范围一、范围二的排放。</w:t>
      </w:r>
    </w:p>
    <w:p w14:paraId="3379FFAE">
      <w:pPr>
        <w:pStyle w:val="6"/>
        <w:keepNext w:val="0"/>
        <w:keepLines w:val="0"/>
        <w:pageBreakBefore w:val="0"/>
        <w:widowControl w:val="0"/>
        <w:numPr>
          <w:ilvl w:val="0"/>
          <w:numId w:val="0"/>
        </w:numPr>
        <w:kinsoku/>
        <w:wordWrap/>
        <w:overflowPunct/>
        <w:topLinePunct w:val="0"/>
        <w:autoSpaceDE/>
        <w:autoSpaceDN/>
        <w:bidi w:val="0"/>
        <w:adjustRightInd/>
        <w:snapToGrid/>
        <w:spacing w:before="54" w:line="600" w:lineRule="exact"/>
        <w:ind w:firstLine="643" w:firstLineChars="200"/>
        <w:textAlignment w:val="auto"/>
        <w:rPr>
          <w:rFonts w:hint="eastAsia" w:ascii="仿宋" w:hAnsi="仿宋" w:eastAsia="仿宋" w:cs="仿宋"/>
          <w:sz w:val="32"/>
          <w:szCs w:val="32"/>
          <w:highlight w:val="none"/>
          <w:lang w:val="en-US" w:eastAsia="zh-CN"/>
        </w:rPr>
      </w:pPr>
      <w:r>
        <w:rPr>
          <w:rFonts w:hint="eastAsia" w:ascii="仿宋" w:hAnsi="仿宋" w:eastAsia="仿宋" w:cs="仿宋"/>
          <w:b/>
          <w:bCs/>
          <w:sz w:val="32"/>
          <w:szCs w:val="32"/>
          <w:highlight w:val="none"/>
          <w:lang w:val="en-US" w:eastAsia="zh-CN"/>
        </w:rPr>
        <w:t>本行范围一：</w:t>
      </w:r>
      <w:r>
        <w:rPr>
          <w:rFonts w:hint="eastAsia" w:ascii="仿宋" w:hAnsi="仿宋" w:eastAsia="仿宋" w:cs="仿宋"/>
          <w:sz w:val="32"/>
          <w:szCs w:val="32"/>
          <w:highlight w:val="none"/>
          <w:lang w:val="en-US" w:eastAsia="zh-CN"/>
        </w:rPr>
        <w:t>直接排放为公务车辆运营消耗的汽油及使用液化石油气引起的排放，计算方法为本行消耗的汽油量乘以汽油对应的排放因子、本行消耗的液化石油气乘以液化石油气对应的排放因子。</w:t>
      </w:r>
    </w:p>
    <w:p w14:paraId="77E3E4E6">
      <w:pPr>
        <w:pStyle w:val="6"/>
        <w:keepNext w:val="0"/>
        <w:keepLines w:val="0"/>
        <w:pageBreakBefore w:val="0"/>
        <w:widowControl w:val="0"/>
        <w:numPr>
          <w:ilvl w:val="0"/>
          <w:numId w:val="0"/>
        </w:numPr>
        <w:kinsoku/>
        <w:wordWrap/>
        <w:overflowPunct/>
        <w:topLinePunct w:val="0"/>
        <w:autoSpaceDE/>
        <w:autoSpaceDN/>
        <w:bidi w:val="0"/>
        <w:adjustRightInd/>
        <w:snapToGrid/>
        <w:spacing w:before="54" w:line="600" w:lineRule="exact"/>
        <w:ind w:firstLine="643" w:firstLineChars="200"/>
        <w:textAlignment w:val="auto"/>
        <w:rPr>
          <w:rFonts w:hint="eastAsia" w:ascii="仿宋" w:hAnsi="仿宋" w:eastAsia="仿宋" w:cs="仿宋"/>
          <w:sz w:val="32"/>
          <w:szCs w:val="32"/>
          <w:highlight w:val="none"/>
          <w:lang w:val="en-US" w:eastAsia="zh-CN"/>
        </w:rPr>
      </w:pPr>
      <w:r>
        <w:rPr>
          <w:rFonts w:hint="eastAsia" w:ascii="仿宋" w:hAnsi="仿宋" w:eastAsia="仿宋" w:cs="仿宋"/>
          <w:b/>
          <w:bCs/>
          <w:sz w:val="32"/>
          <w:szCs w:val="32"/>
          <w:highlight w:val="none"/>
          <w:lang w:val="en-US" w:eastAsia="zh-CN"/>
        </w:rPr>
        <w:t>本行范围二：</w:t>
      </w:r>
      <w:r>
        <w:rPr>
          <w:rFonts w:hint="eastAsia" w:ascii="仿宋" w:hAnsi="仿宋" w:eastAsia="仿宋" w:cs="仿宋"/>
          <w:sz w:val="32"/>
          <w:szCs w:val="32"/>
          <w:highlight w:val="none"/>
          <w:lang w:val="en-US" w:eastAsia="zh-CN"/>
        </w:rPr>
        <w:t>为电力消耗引起的排放，计算方法为本行消耗的电量乘以对应电网的排放因子。计算方法采用《温室气体核算体系：企业核算体系与报告标准》，排放因子选取中国银行保险监督管理委员会于2020年5月印发的第二版《绿色信贷项目节能减排量测算指引》中的数据。</w:t>
      </w:r>
    </w:p>
    <w:p w14:paraId="3E8406AB">
      <w:pPr>
        <w:pStyle w:val="6"/>
        <w:keepNext w:val="0"/>
        <w:keepLines w:val="0"/>
        <w:pageBreakBefore w:val="0"/>
        <w:widowControl w:val="0"/>
        <w:numPr>
          <w:ilvl w:val="0"/>
          <w:numId w:val="0"/>
        </w:numPr>
        <w:kinsoku/>
        <w:wordWrap/>
        <w:overflowPunct/>
        <w:topLinePunct w:val="0"/>
        <w:autoSpaceDE/>
        <w:autoSpaceDN/>
        <w:bidi w:val="0"/>
        <w:adjustRightInd/>
        <w:snapToGrid/>
        <w:spacing w:before="54" w:line="240" w:lineRule="atLeast"/>
        <w:ind w:firstLine="640" w:firstLineChars="200"/>
        <w:textAlignment w:val="auto"/>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具体计算公式如下：</w:t>
      </w:r>
    </w:p>
    <w:p w14:paraId="6154263C">
      <w:pPr>
        <w:pStyle w:val="6"/>
        <w:keepNext w:val="0"/>
        <w:keepLines w:val="0"/>
        <w:pageBreakBefore w:val="0"/>
        <w:widowControl w:val="0"/>
        <w:numPr>
          <w:ilvl w:val="0"/>
          <w:numId w:val="0"/>
        </w:numPr>
        <w:kinsoku/>
        <w:wordWrap/>
        <w:overflowPunct/>
        <w:topLinePunct w:val="0"/>
        <w:autoSpaceDE/>
        <w:autoSpaceDN/>
        <w:bidi w:val="0"/>
        <w:adjustRightInd/>
        <w:snapToGrid/>
        <w:spacing w:before="54" w:line="240" w:lineRule="atLeast"/>
        <w:ind w:firstLine="640" w:firstLineChars="200"/>
        <w:textAlignment w:val="auto"/>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 xml:space="preserve">                 </w:t>
      </w:r>
      <w:r>
        <w:rPr>
          <w:rFonts w:hint="eastAsia" w:ascii="仿宋" w:hAnsi="仿宋" w:eastAsia="仿宋" w:cs="仿宋"/>
          <w:sz w:val="32"/>
          <w:szCs w:val="32"/>
          <w:highlight w:val="none"/>
          <w:lang w:val="en-US" w:eastAsia="zh-CN"/>
        </w:rPr>
        <w:drawing>
          <wp:inline distT="0" distB="0" distL="114300" distR="114300">
            <wp:extent cx="1695450" cy="695325"/>
            <wp:effectExtent l="0" t="0" r="6350" b="3175"/>
            <wp:docPr id="13" name="图片 13"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图片1"/>
                    <pic:cNvPicPr>
                      <a:picLocks noChangeAspect="1"/>
                    </pic:cNvPicPr>
                  </pic:nvPicPr>
                  <pic:blipFill>
                    <a:blip r:embed="rId10"/>
                    <a:stretch>
                      <a:fillRect/>
                    </a:stretch>
                  </pic:blipFill>
                  <pic:spPr>
                    <a:xfrm>
                      <a:off x="0" y="0"/>
                      <a:ext cx="1695450" cy="695325"/>
                    </a:xfrm>
                    <a:prstGeom prst="rect">
                      <a:avLst/>
                    </a:prstGeom>
                  </pic:spPr>
                </pic:pic>
              </a:graphicData>
            </a:graphic>
          </wp:inline>
        </w:drawing>
      </w:r>
    </w:p>
    <w:p w14:paraId="114AE3A6">
      <w:pPr>
        <w:pStyle w:val="6"/>
        <w:keepNext w:val="0"/>
        <w:keepLines w:val="0"/>
        <w:pageBreakBefore w:val="0"/>
        <w:widowControl w:val="0"/>
        <w:numPr>
          <w:ilvl w:val="0"/>
          <w:numId w:val="0"/>
        </w:numPr>
        <w:kinsoku/>
        <w:wordWrap/>
        <w:overflowPunct/>
        <w:topLinePunct w:val="0"/>
        <w:autoSpaceDE/>
        <w:autoSpaceDN/>
        <w:bidi w:val="0"/>
        <w:adjustRightInd/>
        <w:snapToGrid/>
        <w:spacing w:before="54" w:line="240" w:lineRule="atLeast"/>
        <w:ind w:firstLine="640" w:firstLineChars="200"/>
        <w:textAlignment w:val="auto"/>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注：此公式为基本公式，二氧化碳排放应按照具体能源消费品种分别计算。</w:t>
      </w:r>
    </w:p>
    <w:p w14:paraId="13C3BE8A">
      <w:pPr>
        <w:pStyle w:val="6"/>
        <w:keepNext w:val="0"/>
        <w:keepLines w:val="0"/>
        <w:pageBreakBefore w:val="0"/>
        <w:widowControl w:val="0"/>
        <w:numPr>
          <w:ilvl w:val="0"/>
          <w:numId w:val="0"/>
        </w:numPr>
        <w:kinsoku/>
        <w:wordWrap/>
        <w:overflowPunct/>
        <w:topLinePunct w:val="0"/>
        <w:autoSpaceDE/>
        <w:autoSpaceDN/>
        <w:bidi w:val="0"/>
        <w:adjustRightInd/>
        <w:snapToGrid/>
        <w:spacing w:before="54" w:line="600" w:lineRule="exact"/>
        <w:ind w:firstLine="640" w:firstLineChars="200"/>
        <w:textAlignment w:val="auto"/>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式中：</w:t>
      </w:r>
    </w:p>
    <w:p w14:paraId="4A847FB9">
      <w:pPr>
        <w:pStyle w:val="6"/>
        <w:keepNext w:val="0"/>
        <w:keepLines w:val="0"/>
        <w:pageBreakBefore w:val="0"/>
        <w:widowControl w:val="0"/>
        <w:numPr>
          <w:ilvl w:val="0"/>
          <w:numId w:val="0"/>
        </w:numPr>
        <w:kinsoku/>
        <w:wordWrap/>
        <w:overflowPunct/>
        <w:topLinePunct w:val="0"/>
        <w:autoSpaceDE/>
        <w:autoSpaceDN/>
        <w:bidi w:val="0"/>
        <w:adjustRightInd/>
        <w:snapToGrid/>
        <w:spacing w:before="54" w:line="600" w:lineRule="exact"/>
        <w:ind w:firstLine="640" w:firstLineChars="200"/>
        <w:textAlignment w:val="auto"/>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CO2—项目二氧化碳减排量，单位为吨二氧化碳；</w:t>
      </w:r>
    </w:p>
    <w:p w14:paraId="50348A15">
      <w:pPr>
        <w:pStyle w:val="6"/>
        <w:keepNext w:val="0"/>
        <w:keepLines w:val="0"/>
        <w:pageBreakBefore w:val="0"/>
        <w:widowControl w:val="0"/>
        <w:numPr>
          <w:ilvl w:val="0"/>
          <w:numId w:val="0"/>
        </w:numPr>
        <w:kinsoku/>
        <w:wordWrap/>
        <w:overflowPunct/>
        <w:topLinePunct w:val="0"/>
        <w:autoSpaceDE/>
        <w:autoSpaceDN/>
        <w:bidi w:val="0"/>
        <w:adjustRightInd/>
        <w:snapToGrid/>
        <w:spacing w:before="54" w:line="600" w:lineRule="exact"/>
        <w:ind w:firstLine="640" w:firstLineChars="200"/>
        <w:textAlignment w:val="auto"/>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Ei —项目某能源消费品种的实物量，单位为吨（或兆瓦时或万立方米等）；</w:t>
      </w:r>
    </w:p>
    <w:p w14:paraId="5F929E16">
      <w:pPr>
        <w:pStyle w:val="6"/>
        <w:keepNext w:val="0"/>
        <w:keepLines w:val="0"/>
        <w:pageBreakBefore w:val="0"/>
        <w:widowControl w:val="0"/>
        <w:numPr>
          <w:ilvl w:val="0"/>
          <w:numId w:val="0"/>
        </w:numPr>
        <w:kinsoku/>
        <w:wordWrap/>
        <w:overflowPunct/>
        <w:topLinePunct w:val="0"/>
        <w:autoSpaceDE/>
        <w:autoSpaceDN/>
        <w:bidi w:val="0"/>
        <w:adjustRightInd/>
        <w:snapToGrid/>
        <w:spacing w:before="54" w:line="600" w:lineRule="exact"/>
        <w:ind w:firstLine="640" w:firstLineChars="200"/>
        <w:textAlignment w:val="auto"/>
        <w:rPr>
          <w:rFonts w:hint="eastAsia" w:ascii="仿宋" w:hAnsi="仿宋" w:eastAsia="仿宋" w:cs="仿宋"/>
          <w:sz w:val="32"/>
          <w:szCs w:val="32"/>
          <w:highlight w:val="none"/>
          <w:lang w:val="en-US" w:eastAsia="zh-CN"/>
        </w:rPr>
      </w:pPr>
      <w:r>
        <w:rPr>
          <w:rFonts w:hint="eastAsia" w:ascii="仿宋" w:hAnsi="仿宋" w:eastAsia="仿宋" w:cs="仿宋"/>
          <w:i/>
          <w:w w:val="100"/>
          <w:position w:val="-3"/>
          <w:sz w:val="32"/>
          <w:szCs w:val="32"/>
          <w:highlight w:val="none"/>
        </w:rPr>
        <w:t>i</w:t>
      </w:r>
      <w:r>
        <w:rPr>
          <w:rFonts w:hint="eastAsia" w:ascii="仿宋" w:hAnsi="仿宋" w:eastAsia="仿宋" w:cs="仿宋"/>
          <w:i/>
          <w:position w:val="-3"/>
          <w:sz w:val="32"/>
          <w:szCs w:val="32"/>
          <w:highlight w:val="none"/>
        </w:rPr>
        <w:t xml:space="preserve"> </w:t>
      </w:r>
      <w:r>
        <w:rPr>
          <w:rFonts w:hint="eastAsia" w:ascii="仿宋" w:hAnsi="仿宋" w:eastAsia="仿宋" w:cs="仿宋"/>
          <w:w w:val="99"/>
          <w:sz w:val="32"/>
          <w:szCs w:val="32"/>
          <w:highlight w:val="none"/>
        </w:rPr>
        <w:t>—</w:t>
      </w:r>
      <w:r>
        <w:rPr>
          <w:rFonts w:hint="eastAsia" w:ascii="仿宋" w:hAnsi="仿宋" w:eastAsia="仿宋" w:cs="仿宋"/>
          <w:sz w:val="32"/>
          <w:szCs w:val="32"/>
          <w:highlight w:val="none"/>
          <w:lang w:val="en-US" w:eastAsia="zh-CN"/>
        </w:rPr>
        <w:t>项目消费能源品种的二氧化碳排放因子，单位为吨二氧化碳/吨（或吨二氧化碳/兆瓦时或吨二氧化碳/万立方米）。液化石油气消耗产生的温室气体排放。</w:t>
      </w:r>
    </w:p>
    <w:p w14:paraId="6ADC6A4F">
      <w:pPr>
        <w:pStyle w:val="6"/>
        <w:keepNext w:val="0"/>
        <w:keepLines w:val="0"/>
        <w:pageBreakBefore w:val="0"/>
        <w:widowControl w:val="0"/>
        <w:numPr>
          <w:ilvl w:val="0"/>
          <w:numId w:val="0"/>
        </w:numPr>
        <w:kinsoku/>
        <w:wordWrap/>
        <w:overflowPunct/>
        <w:topLinePunct w:val="0"/>
        <w:autoSpaceDE/>
        <w:autoSpaceDN/>
        <w:bidi w:val="0"/>
        <w:adjustRightInd/>
        <w:snapToGrid/>
        <w:spacing w:before="54" w:line="600" w:lineRule="exact"/>
        <w:ind w:firstLine="640" w:firstLineChars="200"/>
        <w:textAlignment w:val="auto"/>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 xml:space="preserve"> </w:t>
      </w:r>
      <w:r>
        <w:rPr>
          <w:rFonts w:hint="eastAsia" w:ascii="仿宋" w:hAnsi="仿宋" w:eastAsia="仿宋" w:cs="仿宋"/>
          <w:b/>
          <w:bCs/>
          <w:sz w:val="32"/>
          <w:szCs w:val="32"/>
          <w:highlight w:val="none"/>
          <w:lang w:val="en-US" w:eastAsia="zh-CN"/>
        </w:rPr>
        <w:t>1、范围一（直接排放）</w:t>
      </w:r>
    </w:p>
    <w:p w14:paraId="1DB92279">
      <w:pPr>
        <w:pStyle w:val="6"/>
        <w:keepNext w:val="0"/>
        <w:keepLines w:val="0"/>
        <w:pageBreakBefore w:val="0"/>
        <w:widowControl w:val="0"/>
        <w:numPr>
          <w:ilvl w:val="0"/>
          <w:numId w:val="0"/>
        </w:numPr>
        <w:kinsoku/>
        <w:wordWrap/>
        <w:overflowPunct/>
        <w:topLinePunct w:val="0"/>
        <w:autoSpaceDE/>
        <w:autoSpaceDN/>
        <w:bidi w:val="0"/>
        <w:adjustRightInd/>
        <w:snapToGrid/>
        <w:spacing w:before="54" w:line="600" w:lineRule="exact"/>
        <w:ind w:firstLine="643" w:firstLineChars="200"/>
        <w:textAlignment w:val="auto"/>
        <w:rPr>
          <w:rFonts w:hint="eastAsia" w:ascii="仿宋" w:hAnsi="仿宋" w:eastAsia="仿宋" w:cs="仿宋"/>
          <w:b/>
          <w:bCs/>
          <w:sz w:val="32"/>
          <w:szCs w:val="32"/>
          <w:highlight w:val="none"/>
          <w:lang w:val="en-US" w:eastAsia="zh-CN"/>
        </w:rPr>
      </w:pPr>
      <w:r>
        <w:rPr>
          <w:rFonts w:hint="eastAsia" w:ascii="仿宋" w:hAnsi="仿宋" w:eastAsia="仿宋" w:cs="仿宋"/>
          <w:b/>
          <w:bCs/>
          <w:sz w:val="32"/>
          <w:szCs w:val="32"/>
          <w:highlight w:val="none"/>
          <w:lang w:val="en-US" w:eastAsia="zh-CN"/>
        </w:rPr>
        <w:t>（1）液化石油气的二氧化碳排放</w:t>
      </w:r>
    </w:p>
    <w:p w14:paraId="75885782">
      <w:pPr>
        <w:pStyle w:val="6"/>
        <w:keepNext w:val="0"/>
        <w:keepLines w:val="0"/>
        <w:pageBreakBefore w:val="0"/>
        <w:widowControl w:val="0"/>
        <w:numPr>
          <w:ilvl w:val="0"/>
          <w:numId w:val="0"/>
        </w:numPr>
        <w:kinsoku/>
        <w:wordWrap/>
        <w:overflowPunct/>
        <w:topLinePunct w:val="0"/>
        <w:autoSpaceDE/>
        <w:autoSpaceDN/>
        <w:bidi w:val="0"/>
        <w:adjustRightInd/>
        <w:snapToGrid/>
        <w:spacing w:before="54" w:line="600" w:lineRule="exact"/>
        <w:ind w:firstLine="640" w:firstLineChars="200"/>
        <w:textAlignment w:val="auto"/>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包括全行营业、办公活动所消耗的液化石油气，排放因子取值参照《绿色信贷节能减排量测算指引》的规定：经国家主管部门确认的经验折算系数，适用于2017年及以后，液化石油气的二氧化碳排放因子可取2.17tCO2 /m3液化石油气。</w:t>
      </w:r>
    </w:p>
    <w:p w14:paraId="562ECD41">
      <w:pPr>
        <w:pStyle w:val="6"/>
        <w:keepNext w:val="0"/>
        <w:keepLines w:val="0"/>
        <w:pageBreakBefore w:val="0"/>
        <w:widowControl w:val="0"/>
        <w:numPr>
          <w:ilvl w:val="0"/>
          <w:numId w:val="0"/>
        </w:numPr>
        <w:kinsoku/>
        <w:wordWrap/>
        <w:overflowPunct/>
        <w:topLinePunct w:val="0"/>
        <w:autoSpaceDE/>
        <w:autoSpaceDN/>
        <w:bidi w:val="0"/>
        <w:adjustRightInd/>
        <w:snapToGrid/>
        <w:spacing w:before="54" w:line="600" w:lineRule="exact"/>
        <w:ind w:firstLine="643" w:firstLineChars="200"/>
        <w:textAlignment w:val="auto"/>
        <w:rPr>
          <w:rFonts w:hint="eastAsia" w:ascii="仿宋" w:hAnsi="仿宋" w:eastAsia="仿宋" w:cs="仿宋"/>
          <w:sz w:val="32"/>
          <w:szCs w:val="32"/>
          <w:highlight w:val="none"/>
          <w:lang w:val="en-US" w:eastAsia="zh-CN"/>
        </w:rPr>
      </w:pPr>
      <w:r>
        <w:rPr>
          <w:rFonts w:hint="eastAsia" w:ascii="仿宋" w:hAnsi="仿宋" w:eastAsia="仿宋" w:cs="仿宋"/>
          <w:b/>
          <w:bCs/>
          <w:sz w:val="32"/>
          <w:szCs w:val="32"/>
          <w:highlight w:val="none"/>
          <w:lang w:val="en-US" w:eastAsia="zh-CN"/>
        </w:rPr>
        <w:t>（2）自有交通运输工具所产生的温室气体排放量</w:t>
      </w:r>
    </w:p>
    <w:p w14:paraId="2FC69DA5">
      <w:pPr>
        <w:pStyle w:val="6"/>
        <w:keepNext w:val="0"/>
        <w:keepLines w:val="0"/>
        <w:pageBreakBefore w:val="0"/>
        <w:widowControl w:val="0"/>
        <w:numPr>
          <w:ilvl w:val="0"/>
          <w:numId w:val="0"/>
        </w:numPr>
        <w:kinsoku/>
        <w:wordWrap/>
        <w:overflowPunct/>
        <w:topLinePunct w:val="0"/>
        <w:autoSpaceDE/>
        <w:autoSpaceDN/>
        <w:bidi w:val="0"/>
        <w:adjustRightInd/>
        <w:snapToGrid/>
        <w:spacing w:before="54" w:line="600" w:lineRule="exact"/>
        <w:ind w:firstLine="640" w:firstLineChars="200"/>
        <w:textAlignment w:val="auto"/>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包括总行层面自有交通运输工具汽油消耗量，排放因子取值参照《绿色信贷节能减排量测算指引》的规定：交通工具用动力汽油二氧化碳排放因子均可取2.98tCO2 /t 汽油。</w:t>
      </w:r>
    </w:p>
    <w:p w14:paraId="42CE3BE6">
      <w:pPr>
        <w:pStyle w:val="6"/>
        <w:keepNext w:val="0"/>
        <w:keepLines w:val="0"/>
        <w:pageBreakBefore w:val="0"/>
        <w:widowControl w:val="0"/>
        <w:numPr>
          <w:ilvl w:val="0"/>
          <w:numId w:val="0"/>
        </w:numPr>
        <w:kinsoku/>
        <w:wordWrap/>
        <w:overflowPunct/>
        <w:topLinePunct w:val="0"/>
        <w:autoSpaceDE/>
        <w:autoSpaceDN/>
        <w:bidi w:val="0"/>
        <w:adjustRightInd/>
        <w:snapToGrid/>
        <w:spacing w:before="54" w:line="600" w:lineRule="exact"/>
        <w:ind w:firstLine="643" w:firstLineChars="200"/>
        <w:textAlignment w:val="auto"/>
        <w:rPr>
          <w:rFonts w:hint="eastAsia" w:ascii="仿宋" w:hAnsi="仿宋" w:eastAsia="仿宋" w:cs="仿宋"/>
          <w:b/>
          <w:bCs/>
          <w:sz w:val="32"/>
          <w:szCs w:val="32"/>
          <w:highlight w:val="none"/>
          <w:lang w:val="en-US" w:eastAsia="zh-CN"/>
        </w:rPr>
      </w:pPr>
      <w:r>
        <w:rPr>
          <w:rFonts w:hint="eastAsia" w:ascii="仿宋" w:hAnsi="仿宋" w:eastAsia="仿宋" w:cs="仿宋"/>
          <w:b/>
          <w:bCs/>
          <w:sz w:val="32"/>
          <w:szCs w:val="32"/>
          <w:highlight w:val="none"/>
          <w:lang w:val="en-US" w:eastAsia="zh-CN"/>
        </w:rPr>
        <w:t>2、范围二（间接排放）</w:t>
      </w:r>
    </w:p>
    <w:p w14:paraId="0AACD44E">
      <w:pPr>
        <w:pStyle w:val="6"/>
        <w:keepNext w:val="0"/>
        <w:keepLines w:val="0"/>
        <w:pageBreakBefore w:val="0"/>
        <w:widowControl w:val="0"/>
        <w:numPr>
          <w:ilvl w:val="0"/>
          <w:numId w:val="0"/>
        </w:numPr>
        <w:kinsoku/>
        <w:wordWrap/>
        <w:overflowPunct/>
        <w:topLinePunct w:val="0"/>
        <w:autoSpaceDE/>
        <w:autoSpaceDN/>
        <w:bidi w:val="0"/>
        <w:adjustRightInd/>
        <w:snapToGrid/>
        <w:spacing w:before="54" w:line="600" w:lineRule="exact"/>
        <w:ind w:firstLine="643" w:firstLineChars="200"/>
        <w:textAlignment w:val="auto"/>
        <w:rPr>
          <w:rFonts w:hint="eastAsia" w:ascii="仿宋" w:hAnsi="仿宋" w:eastAsia="仿宋" w:cs="仿宋"/>
          <w:sz w:val="32"/>
          <w:szCs w:val="32"/>
          <w:highlight w:val="none"/>
          <w:lang w:val="en-US" w:eastAsia="zh-CN"/>
        </w:rPr>
      </w:pPr>
      <w:r>
        <w:rPr>
          <w:rFonts w:hint="eastAsia" w:ascii="仿宋" w:hAnsi="仿宋" w:eastAsia="仿宋" w:cs="仿宋"/>
          <w:b/>
          <w:bCs/>
          <w:sz w:val="32"/>
          <w:szCs w:val="32"/>
          <w:highlight w:val="none"/>
          <w:lang w:val="en-US" w:eastAsia="zh-CN"/>
        </w:rPr>
        <w:t>外购电力消耗所产生的温室气体排放量</w:t>
      </w:r>
    </w:p>
    <w:p w14:paraId="686534AC">
      <w:pPr>
        <w:pStyle w:val="6"/>
        <w:keepNext w:val="0"/>
        <w:keepLines w:val="0"/>
        <w:pageBreakBefore w:val="0"/>
        <w:widowControl w:val="0"/>
        <w:numPr>
          <w:ilvl w:val="0"/>
          <w:numId w:val="0"/>
        </w:numPr>
        <w:kinsoku/>
        <w:wordWrap/>
        <w:overflowPunct/>
        <w:topLinePunct w:val="0"/>
        <w:autoSpaceDE/>
        <w:autoSpaceDN/>
        <w:bidi w:val="0"/>
        <w:adjustRightInd/>
        <w:snapToGrid/>
        <w:spacing w:before="54" w:line="600" w:lineRule="exact"/>
        <w:ind w:firstLine="640" w:firstLineChars="200"/>
        <w:textAlignment w:val="auto"/>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本行所处湖南省属华中电网，根据国家发改委应对气候变化司发布的2012年中国区域电网平均二氧化碳排放因子i(tCO2/Mwh)统计，华中区域电网（河南省、湖北省、湖南省、江西省、 四川省、重庆市）的排放因子为0.5257tCO2 /Mwh。</w:t>
      </w:r>
    </w:p>
    <w:p w14:paraId="5A1DAA8C">
      <w:pPr>
        <w:pStyle w:val="6"/>
        <w:keepNext w:val="0"/>
        <w:keepLines w:val="0"/>
        <w:pageBreakBefore w:val="0"/>
        <w:widowControl w:val="0"/>
        <w:numPr>
          <w:ilvl w:val="0"/>
          <w:numId w:val="0"/>
        </w:numPr>
        <w:kinsoku/>
        <w:wordWrap/>
        <w:overflowPunct/>
        <w:topLinePunct w:val="0"/>
        <w:autoSpaceDE/>
        <w:autoSpaceDN/>
        <w:bidi w:val="0"/>
        <w:adjustRightInd/>
        <w:snapToGrid/>
        <w:spacing w:before="54" w:line="600" w:lineRule="exact"/>
        <w:ind w:firstLine="643" w:firstLineChars="200"/>
        <w:textAlignment w:val="auto"/>
        <w:rPr>
          <w:rFonts w:hint="eastAsia" w:ascii="仿宋" w:hAnsi="仿宋" w:eastAsia="仿宋" w:cs="仿宋"/>
          <w:b/>
          <w:bCs/>
          <w:sz w:val="32"/>
          <w:szCs w:val="32"/>
          <w:highlight w:val="none"/>
          <w:lang w:val="en-US" w:eastAsia="zh-CN"/>
        </w:rPr>
      </w:pPr>
      <w:r>
        <w:rPr>
          <w:rFonts w:hint="eastAsia" w:ascii="仿宋" w:hAnsi="仿宋" w:eastAsia="仿宋" w:cs="仿宋"/>
          <w:b/>
          <w:bCs/>
          <w:sz w:val="32"/>
          <w:szCs w:val="32"/>
          <w:highlight w:val="none"/>
          <w:lang w:val="en-US" w:eastAsia="zh-CN"/>
        </w:rPr>
        <w:t>3.温室气体总量</w:t>
      </w:r>
    </w:p>
    <w:p w14:paraId="61391CE3">
      <w:pPr>
        <w:pStyle w:val="6"/>
        <w:keepNext w:val="0"/>
        <w:keepLines w:val="0"/>
        <w:pageBreakBefore w:val="0"/>
        <w:widowControl w:val="0"/>
        <w:numPr>
          <w:ilvl w:val="0"/>
          <w:numId w:val="0"/>
        </w:numPr>
        <w:kinsoku/>
        <w:wordWrap/>
        <w:overflowPunct/>
        <w:topLinePunct w:val="0"/>
        <w:autoSpaceDE/>
        <w:autoSpaceDN/>
        <w:bidi w:val="0"/>
        <w:adjustRightInd/>
        <w:snapToGrid/>
        <w:spacing w:before="54" w:line="600" w:lineRule="exact"/>
        <w:ind w:firstLine="640" w:firstLineChars="200"/>
        <w:textAlignment w:val="auto"/>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为直接温室气体排放总量（范围一）和间接温室气体排放（范围二）的综合。</w:t>
      </w:r>
    </w:p>
    <w:p w14:paraId="2711B34E">
      <w:pPr>
        <w:pStyle w:val="6"/>
        <w:keepNext w:val="0"/>
        <w:keepLines w:val="0"/>
        <w:pageBreakBefore w:val="0"/>
        <w:widowControl w:val="0"/>
        <w:numPr>
          <w:ilvl w:val="0"/>
          <w:numId w:val="0"/>
        </w:numPr>
        <w:kinsoku/>
        <w:wordWrap/>
        <w:overflowPunct/>
        <w:topLinePunct w:val="0"/>
        <w:autoSpaceDE/>
        <w:autoSpaceDN/>
        <w:bidi w:val="0"/>
        <w:adjustRightInd/>
        <w:snapToGrid/>
        <w:spacing w:before="54" w:line="600" w:lineRule="exact"/>
        <w:ind w:firstLine="643" w:firstLineChars="200"/>
        <w:textAlignment w:val="auto"/>
        <w:rPr>
          <w:rFonts w:hint="eastAsia" w:ascii="仿宋" w:hAnsi="仿宋" w:eastAsia="仿宋" w:cs="仿宋"/>
          <w:b/>
          <w:bCs/>
          <w:sz w:val="32"/>
          <w:szCs w:val="32"/>
          <w:highlight w:val="none"/>
          <w:lang w:val="en-US" w:eastAsia="zh-CN"/>
        </w:rPr>
      </w:pPr>
      <w:r>
        <w:rPr>
          <w:rFonts w:hint="eastAsia" w:ascii="仿宋" w:hAnsi="仿宋" w:eastAsia="仿宋" w:cs="仿宋"/>
          <w:b/>
          <w:bCs/>
          <w:sz w:val="32"/>
          <w:szCs w:val="32"/>
          <w:highlight w:val="none"/>
          <w:lang w:val="en-US" w:eastAsia="zh-CN"/>
        </w:rPr>
        <w:t>4.人均碳足迹的核算</w:t>
      </w:r>
    </w:p>
    <w:p w14:paraId="13A152FB">
      <w:pPr>
        <w:pStyle w:val="6"/>
        <w:keepNext w:val="0"/>
        <w:keepLines w:val="0"/>
        <w:pageBreakBefore w:val="0"/>
        <w:widowControl w:val="0"/>
        <w:numPr>
          <w:ilvl w:val="0"/>
          <w:numId w:val="0"/>
        </w:numPr>
        <w:kinsoku/>
        <w:wordWrap/>
        <w:overflowPunct/>
        <w:topLinePunct w:val="0"/>
        <w:autoSpaceDE/>
        <w:autoSpaceDN/>
        <w:bidi w:val="0"/>
        <w:adjustRightInd/>
        <w:snapToGrid/>
        <w:spacing w:before="54" w:line="600" w:lineRule="exact"/>
        <w:ind w:firstLine="640" w:firstLineChars="200"/>
        <w:textAlignment w:val="auto"/>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2025年经营活动产生的直接和间接自然资源消耗统计对象范围为全行，以总排放量对应的统计口径员工人数56人为基数。</w:t>
      </w:r>
    </w:p>
    <w:p w14:paraId="7459F4BC">
      <w:pPr>
        <w:pStyle w:val="6"/>
        <w:keepNext w:val="0"/>
        <w:keepLines w:val="0"/>
        <w:pageBreakBefore w:val="0"/>
        <w:widowControl w:val="0"/>
        <w:numPr>
          <w:ilvl w:val="0"/>
          <w:numId w:val="0"/>
        </w:numPr>
        <w:kinsoku/>
        <w:wordWrap/>
        <w:overflowPunct/>
        <w:topLinePunct w:val="0"/>
        <w:autoSpaceDE/>
        <w:autoSpaceDN/>
        <w:bidi w:val="0"/>
        <w:adjustRightInd/>
        <w:snapToGrid/>
        <w:spacing w:before="54" w:line="600" w:lineRule="exact"/>
        <w:ind w:firstLine="643" w:firstLineChars="200"/>
        <w:textAlignment w:val="auto"/>
        <w:rPr>
          <w:rFonts w:hint="eastAsia" w:ascii="仿宋" w:hAnsi="仿宋" w:eastAsia="仿宋" w:cs="仿宋"/>
          <w:sz w:val="32"/>
          <w:szCs w:val="32"/>
          <w:highlight w:val="none"/>
          <w:lang w:val="en-US" w:eastAsia="zh-CN"/>
        </w:rPr>
      </w:pPr>
      <w:r>
        <w:rPr>
          <w:rFonts w:hint="eastAsia" w:ascii="仿宋" w:hAnsi="仿宋" w:eastAsia="仿宋" w:cs="仿宋"/>
          <w:b/>
          <w:bCs/>
          <w:sz w:val="32"/>
          <w:szCs w:val="32"/>
          <w:highlight w:val="none"/>
          <w:lang w:val="en-US" w:eastAsia="zh-CN"/>
        </w:rPr>
        <w:t>（二）采取的环保措施</w:t>
      </w:r>
    </w:p>
    <w:p w14:paraId="03E0687B">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Chars="0" w:firstLine="640" w:firstLineChars="200"/>
        <w:textAlignment w:val="auto"/>
        <w:rPr>
          <w:rFonts w:hint="eastAsia" w:ascii="仿宋" w:hAnsi="仿宋" w:eastAsia="仿宋" w:cs="仿宋"/>
          <w:color w:val="auto"/>
          <w:sz w:val="32"/>
          <w:szCs w:val="32"/>
          <w:highlight w:val="none"/>
          <w:lang w:eastAsia="zh-CN"/>
        </w:rPr>
      </w:pPr>
      <w:r>
        <w:rPr>
          <w:rFonts w:hint="eastAsia" w:ascii="仿宋" w:hAnsi="仿宋" w:eastAsia="仿宋" w:cs="仿宋"/>
          <w:color w:val="auto"/>
          <w:sz w:val="32"/>
          <w:szCs w:val="32"/>
          <w:highlight w:val="none"/>
          <w:lang w:eastAsia="zh-CN"/>
        </w:rPr>
        <w:t>本行</w:t>
      </w:r>
      <w:r>
        <w:rPr>
          <w:rFonts w:hint="eastAsia" w:ascii="仿宋" w:hAnsi="仿宋" w:eastAsia="仿宋" w:cs="仿宋"/>
          <w:color w:val="auto"/>
          <w:sz w:val="32"/>
          <w:szCs w:val="32"/>
          <w:highlight w:val="none"/>
        </w:rPr>
        <w:t>积极贯彻国家低碳经济政策，坚持可持续发展的治理理念，倡导绿色运营。为降低经营活动对环境的影响，</w:t>
      </w:r>
      <w:r>
        <w:rPr>
          <w:rFonts w:hint="eastAsia" w:ascii="仿宋" w:hAnsi="仿宋" w:eastAsia="仿宋" w:cs="仿宋"/>
          <w:color w:val="auto"/>
          <w:sz w:val="32"/>
          <w:szCs w:val="32"/>
          <w:highlight w:val="none"/>
          <w:lang w:eastAsia="zh-CN"/>
        </w:rPr>
        <w:t>本行</w:t>
      </w:r>
      <w:r>
        <w:rPr>
          <w:rFonts w:hint="eastAsia" w:ascii="仿宋" w:hAnsi="仿宋" w:eastAsia="仿宋" w:cs="仿宋"/>
          <w:color w:val="auto"/>
          <w:sz w:val="32"/>
          <w:szCs w:val="32"/>
          <w:highlight w:val="none"/>
        </w:rPr>
        <w:t>通过实施一系列减排行动</w:t>
      </w:r>
      <w:r>
        <w:rPr>
          <w:rFonts w:hint="eastAsia" w:ascii="仿宋" w:hAnsi="仿宋" w:eastAsia="仿宋" w:cs="仿宋"/>
          <w:color w:val="auto"/>
          <w:sz w:val="32"/>
          <w:szCs w:val="32"/>
          <w:highlight w:val="none"/>
          <w:lang w:eastAsia="zh-CN"/>
        </w:rPr>
        <w:t>。</w:t>
      </w:r>
    </w:p>
    <w:p w14:paraId="794C43BB">
      <w:pPr>
        <w:keepNext w:val="0"/>
        <w:keepLines w:val="0"/>
        <w:pageBreakBefore w:val="0"/>
        <w:widowControl w:val="0"/>
        <w:numPr>
          <w:ilvl w:val="0"/>
          <w:numId w:val="3"/>
        </w:numPr>
        <w:kinsoku/>
        <w:wordWrap/>
        <w:overflowPunct/>
        <w:topLinePunct w:val="0"/>
        <w:autoSpaceDE/>
        <w:autoSpaceDN/>
        <w:bidi w:val="0"/>
        <w:adjustRightInd/>
        <w:snapToGrid/>
        <w:spacing w:line="600" w:lineRule="exact"/>
        <w:ind w:leftChars="0" w:firstLine="640" w:firstLineChars="200"/>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lang w:val="en-US" w:eastAsia="zh-CN"/>
        </w:rPr>
        <w:t>用电管理：</w:t>
      </w:r>
      <w:r>
        <w:rPr>
          <w:rFonts w:hint="eastAsia" w:ascii="仿宋" w:hAnsi="仿宋" w:eastAsia="仿宋" w:cs="仿宋"/>
          <w:color w:val="auto"/>
          <w:sz w:val="32"/>
          <w:szCs w:val="32"/>
          <w:highlight w:val="none"/>
        </w:rPr>
        <w:t>严格控制办公室的空调温度，夏季不低于摄氏26度，冬季不高于20度，离开办公室时间较长或下班时要关闭空调，空调启动后办公室门窗尽量不要</w:t>
      </w:r>
      <w:r>
        <w:rPr>
          <w:rFonts w:hint="eastAsia" w:ascii="仿宋" w:hAnsi="仿宋" w:eastAsia="仿宋" w:cs="仿宋"/>
          <w:color w:val="auto"/>
          <w:sz w:val="32"/>
          <w:szCs w:val="32"/>
          <w:highlight w:val="none"/>
          <w:lang w:val="en-US" w:eastAsia="zh-CN"/>
        </w:rPr>
        <w:t>打</w:t>
      </w:r>
      <w:r>
        <w:rPr>
          <w:rFonts w:hint="eastAsia" w:ascii="仿宋" w:hAnsi="仿宋" w:eastAsia="仿宋" w:cs="仿宋"/>
          <w:color w:val="auto"/>
          <w:sz w:val="32"/>
          <w:szCs w:val="32"/>
          <w:highlight w:val="none"/>
        </w:rPr>
        <w:t>开。</w:t>
      </w:r>
      <w:r>
        <w:rPr>
          <w:rFonts w:hint="eastAsia" w:ascii="仿宋" w:hAnsi="仿宋" w:eastAsia="仿宋" w:cs="仿宋"/>
          <w:color w:val="auto"/>
          <w:sz w:val="32"/>
          <w:szCs w:val="32"/>
          <w:highlight w:val="none"/>
          <w:lang w:val="en-US" w:eastAsia="zh-CN"/>
        </w:rPr>
        <w:t>办公场所禁止吸烟。</w:t>
      </w:r>
      <w:r>
        <w:rPr>
          <w:rFonts w:hint="eastAsia" w:ascii="仿宋" w:hAnsi="仿宋" w:eastAsia="仿宋" w:cs="仿宋"/>
          <w:color w:val="auto"/>
          <w:sz w:val="32"/>
          <w:szCs w:val="32"/>
          <w:highlight w:val="none"/>
        </w:rPr>
        <w:t>培养员工良好的节约用电习惯。充分利用自然照明，减少不必要的照明用电，下班后人走灯灭</w:t>
      </w:r>
      <w:r>
        <w:rPr>
          <w:rFonts w:hint="eastAsia" w:ascii="仿宋" w:hAnsi="仿宋" w:eastAsia="仿宋" w:cs="仿宋"/>
          <w:color w:val="auto"/>
          <w:sz w:val="32"/>
          <w:szCs w:val="32"/>
          <w:highlight w:val="none"/>
          <w:lang w:eastAsia="zh-CN"/>
        </w:rPr>
        <w:t>。</w:t>
      </w:r>
      <w:r>
        <w:rPr>
          <w:rFonts w:hint="eastAsia" w:ascii="仿宋" w:hAnsi="仿宋" w:eastAsia="仿宋" w:cs="仿宋"/>
          <w:color w:val="auto"/>
          <w:sz w:val="32"/>
          <w:szCs w:val="32"/>
          <w:highlight w:val="none"/>
        </w:rPr>
        <w:t>下班后关闭不必要的办公设备用电，如空调、电脑、复印机打印机以及饮水机等。</w:t>
      </w:r>
    </w:p>
    <w:p w14:paraId="3038A906">
      <w:pPr>
        <w:keepNext w:val="0"/>
        <w:keepLines w:val="0"/>
        <w:pageBreakBefore w:val="0"/>
        <w:widowControl w:val="0"/>
        <w:numPr>
          <w:ilvl w:val="0"/>
          <w:numId w:val="0"/>
        </w:numPr>
        <w:kinsoku/>
        <w:wordWrap/>
        <w:overflowPunct/>
        <w:topLinePunct w:val="0"/>
        <w:autoSpaceDE/>
        <w:autoSpaceDN/>
        <w:bidi w:val="0"/>
        <w:adjustRightInd/>
        <w:snapToGrid/>
        <w:spacing w:line="540" w:lineRule="atLeast"/>
        <w:jc w:val="both"/>
        <w:textAlignment w:val="auto"/>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drawing>
          <wp:inline distT="0" distB="0" distL="114300" distR="114300">
            <wp:extent cx="2526665" cy="1135380"/>
            <wp:effectExtent l="0" t="0" r="635" b="7620"/>
            <wp:docPr id="5" name="图片 5" descr="7e6e0c8b4929580e86356e747bc48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7e6e0c8b4929580e86356e747bc48c5"/>
                    <pic:cNvPicPr>
                      <a:picLocks noChangeAspect="1"/>
                    </pic:cNvPicPr>
                  </pic:nvPicPr>
                  <pic:blipFill>
                    <a:blip r:embed="rId11"/>
                    <a:stretch>
                      <a:fillRect/>
                    </a:stretch>
                  </pic:blipFill>
                  <pic:spPr>
                    <a:xfrm>
                      <a:off x="0" y="0"/>
                      <a:ext cx="2526665" cy="1135380"/>
                    </a:xfrm>
                    <a:prstGeom prst="rect">
                      <a:avLst/>
                    </a:prstGeom>
                  </pic:spPr>
                </pic:pic>
              </a:graphicData>
            </a:graphic>
          </wp:inline>
        </w:drawing>
      </w:r>
      <w:r>
        <w:rPr>
          <w:rFonts w:hint="eastAsia" w:ascii="仿宋" w:hAnsi="仿宋" w:eastAsia="仿宋" w:cs="仿宋"/>
          <w:sz w:val="32"/>
          <w:szCs w:val="32"/>
          <w:highlight w:val="none"/>
          <w:lang w:val="en-US" w:eastAsia="zh-CN"/>
        </w:rPr>
        <w:drawing>
          <wp:inline distT="0" distB="0" distL="114300" distR="114300">
            <wp:extent cx="2658745" cy="1116330"/>
            <wp:effectExtent l="0" t="0" r="8255" b="1270"/>
            <wp:docPr id="7" name="图片 7" descr="738cc498507566a7a9728d730421e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738cc498507566a7a9728d730421e2c"/>
                    <pic:cNvPicPr>
                      <a:picLocks noChangeAspect="1"/>
                    </pic:cNvPicPr>
                  </pic:nvPicPr>
                  <pic:blipFill>
                    <a:blip r:embed="rId12"/>
                    <a:stretch>
                      <a:fillRect/>
                    </a:stretch>
                  </pic:blipFill>
                  <pic:spPr>
                    <a:xfrm>
                      <a:off x="0" y="0"/>
                      <a:ext cx="2658745" cy="1116330"/>
                    </a:xfrm>
                    <a:prstGeom prst="rect">
                      <a:avLst/>
                    </a:prstGeom>
                  </pic:spPr>
                </pic:pic>
              </a:graphicData>
            </a:graphic>
          </wp:inline>
        </w:drawing>
      </w:r>
    </w:p>
    <w:p w14:paraId="3FFFAA56">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Chars="0" w:firstLine="640" w:firstLineChars="200"/>
        <w:textAlignment w:val="auto"/>
        <w:rPr>
          <w:rFonts w:hint="eastAsia" w:ascii="仿宋" w:hAnsi="仿宋" w:eastAsia="仿宋" w:cs="仿宋"/>
          <w:color w:val="auto"/>
          <w:sz w:val="32"/>
          <w:szCs w:val="32"/>
          <w:highlight w:val="none"/>
          <w:lang w:eastAsia="zh-CN"/>
        </w:rPr>
      </w:pPr>
      <w:r>
        <w:rPr>
          <w:rFonts w:hint="eastAsia" w:ascii="仿宋" w:hAnsi="仿宋" w:eastAsia="仿宋" w:cs="仿宋"/>
          <w:color w:val="auto"/>
          <w:sz w:val="32"/>
          <w:szCs w:val="32"/>
          <w:highlight w:val="none"/>
          <w:lang w:val="en-US" w:eastAsia="zh-CN"/>
        </w:rPr>
        <w:t>2、车辆管理：</w:t>
      </w:r>
      <w:r>
        <w:rPr>
          <w:rFonts w:hint="eastAsia" w:ascii="仿宋" w:hAnsi="仿宋" w:eastAsia="仿宋" w:cs="仿宋"/>
          <w:color w:val="auto"/>
          <w:sz w:val="32"/>
          <w:szCs w:val="32"/>
          <w:highlight w:val="none"/>
        </w:rPr>
        <w:t>加强日常公务车辆管理，减少车辆能耗：公务用车保险、维修等加强集中釆购管理，降低运行成本。加强公车使用管理，合理做好车辆调度，提高车辆运行效率，减少车辆空驶。加强车辆日常维护，使车辆保持合理的技术状况。加强对</w:t>
      </w:r>
      <w:r>
        <w:rPr>
          <w:rFonts w:hint="eastAsia" w:ascii="仿宋" w:hAnsi="仿宋" w:eastAsia="仿宋" w:cs="仿宋"/>
          <w:color w:val="auto"/>
          <w:sz w:val="32"/>
          <w:szCs w:val="32"/>
          <w:highlight w:val="none"/>
          <w:lang w:val="en-US" w:eastAsia="zh-CN"/>
        </w:rPr>
        <w:t>司机</w:t>
      </w:r>
      <w:r>
        <w:rPr>
          <w:rFonts w:hint="eastAsia" w:ascii="仿宋" w:hAnsi="仿宋" w:eastAsia="仿宋" w:cs="仿宋"/>
          <w:color w:val="auto"/>
          <w:sz w:val="32"/>
          <w:szCs w:val="32"/>
          <w:highlight w:val="none"/>
        </w:rPr>
        <w:t>培训和教育工作，提高驾驶技能和爱护车辆的自觉性，努力降低车辆燃油消耗。</w:t>
      </w:r>
    </w:p>
    <w:p w14:paraId="3001ADFA">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Chars="0" w:firstLine="640" w:firstLineChars="200"/>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lang w:val="en-US" w:eastAsia="zh-CN"/>
        </w:rPr>
        <w:t xml:space="preserve"> 3、用水管理：</w:t>
      </w:r>
      <w:r>
        <w:rPr>
          <w:rFonts w:hint="eastAsia" w:ascii="仿宋" w:hAnsi="仿宋" w:eastAsia="仿宋" w:cs="仿宋"/>
          <w:color w:val="auto"/>
          <w:sz w:val="32"/>
          <w:szCs w:val="32"/>
          <w:highlight w:val="none"/>
        </w:rPr>
        <w:t>合理使用水资源，严防滴、漏现象发生，定期检查更换水龙头、管道阀门，加强用水设备的日常检查和维护及时关闭水龙头。</w:t>
      </w:r>
    </w:p>
    <w:p w14:paraId="0DD57D2C">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Chars="0" w:firstLine="640" w:firstLineChars="200"/>
        <w:textAlignment w:val="auto"/>
        <w:rPr>
          <w:rFonts w:hint="eastAsia" w:ascii="仿宋" w:hAnsi="仿宋" w:eastAsia="仿宋" w:cs="仿宋"/>
          <w:color w:val="auto"/>
          <w:sz w:val="32"/>
          <w:szCs w:val="32"/>
          <w:highlight w:val="none"/>
          <w:lang w:eastAsia="zh-CN"/>
        </w:rPr>
      </w:pPr>
      <w:r>
        <w:rPr>
          <w:rFonts w:hint="eastAsia" w:ascii="仿宋" w:hAnsi="仿宋" w:eastAsia="仿宋" w:cs="仿宋"/>
          <w:color w:val="auto"/>
          <w:sz w:val="32"/>
          <w:szCs w:val="32"/>
          <w:highlight w:val="none"/>
          <w:lang w:val="en-US" w:eastAsia="zh-CN"/>
        </w:rPr>
        <w:t>4、用纸管理：一是</w:t>
      </w:r>
      <w:r>
        <w:rPr>
          <w:rFonts w:hint="eastAsia" w:ascii="仿宋" w:hAnsi="仿宋" w:eastAsia="仿宋" w:cs="仿宋"/>
          <w:color w:val="auto"/>
          <w:sz w:val="32"/>
          <w:szCs w:val="32"/>
          <w:highlight w:val="none"/>
        </w:rPr>
        <w:t>结合大数据以及风控模型推出线上贷款产品“惠E贷”，实现全流程无纸化信贷；推出移动信贷系统</w:t>
      </w:r>
      <w:r>
        <w:rPr>
          <w:rFonts w:hint="eastAsia" w:ascii="仿宋" w:hAnsi="仿宋" w:eastAsia="仿宋" w:cs="仿宋"/>
          <w:color w:val="auto"/>
          <w:sz w:val="32"/>
          <w:szCs w:val="32"/>
          <w:highlight w:val="none"/>
          <w:lang w:eastAsia="zh-CN"/>
        </w:rPr>
        <w:t>；</w:t>
      </w:r>
      <w:r>
        <w:rPr>
          <w:rFonts w:hint="eastAsia" w:ascii="仿宋" w:hAnsi="仿宋" w:eastAsia="仿宋" w:cs="仿宋"/>
          <w:color w:val="auto"/>
          <w:sz w:val="32"/>
          <w:szCs w:val="32"/>
          <w:highlight w:val="none"/>
          <w:lang w:val="en-US" w:eastAsia="zh-CN"/>
        </w:rPr>
        <w:t>二是本行在2023年7月实现柜面核心系统改造升级，办理业务留存电子回单，客户只仅需使用电子笔对生成的电子业务凭证进行签字确认，纸质凭证大幅度减少；三是办好对全员</w:t>
      </w:r>
      <w:r>
        <w:rPr>
          <w:rFonts w:hint="eastAsia" w:ascii="仿宋" w:hAnsi="仿宋" w:eastAsia="仿宋" w:cs="仿宋"/>
          <w:color w:val="auto"/>
          <w:sz w:val="32"/>
          <w:szCs w:val="32"/>
          <w:highlight w:val="none"/>
        </w:rPr>
        <w:t>提倡电子办公，减少纸张等办公用品消耗，对必须形成纸质件的，严格控制印刷数量，并提倡双面用纸。不必要的纸质稿件尽量使用电子文档审阅，减少纸张使用率，</w:t>
      </w:r>
      <w:r>
        <w:rPr>
          <w:rFonts w:hint="eastAsia" w:ascii="仿宋" w:hAnsi="仿宋" w:eastAsia="仿宋" w:cs="仿宋"/>
          <w:color w:val="auto"/>
          <w:sz w:val="32"/>
          <w:szCs w:val="32"/>
          <w:highlight w:val="none"/>
          <w:lang w:val="en-US" w:eastAsia="zh-CN"/>
        </w:rPr>
        <w:t>四是</w:t>
      </w:r>
      <w:r>
        <w:rPr>
          <w:rFonts w:hint="eastAsia" w:ascii="仿宋" w:hAnsi="仿宋" w:eastAsia="仿宋" w:cs="仿宋"/>
          <w:color w:val="auto"/>
          <w:sz w:val="32"/>
          <w:szCs w:val="32"/>
          <w:highlight w:val="none"/>
        </w:rPr>
        <w:t>做好办公设施设备保养，保持设备良好使用状态，减少损耗，节约耗材费用，杜绝浪费。</w:t>
      </w:r>
    </w:p>
    <w:p w14:paraId="05177E9D">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Chars="0" w:firstLine="640" w:firstLineChars="200"/>
        <w:textAlignment w:val="auto"/>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5、线上会议和无纸化办公：</w:t>
      </w:r>
      <w:r>
        <w:rPr>
          <w:rFonts w:hint="eastAsia" w:ascii="仿宋" w:hAnsi="仿宋" w:eastAsia="仿宋" w:cs="仿宋"/>
          <w:color w:val="auto"/>
          <w:sz w:val="32"/>
          <w:szCs w:val="32"/>
          <w:highlight w:val="none"/>
        </w:rPr>
        <w:t>尽量使用</w:t>
      </w:r>
      <w:r>
        <w:rPr>
          <w:rFonts w:hint="eastAsia" w:ascii="仿宋" w:hAnsi="仿宋" w:eastAsia="仿宋" w:cs="仿宋"/>
          <w:color w:val="auto"/>
          <w:sz w:val="32"/>
          <w:szCs w:val="32"/>
          <w:highlight w:val="none"/>
          <w:lang w:val="en-US" w:eastAsia="zh-CN"/>
        </w:rPr>
        <w:t>视频等</w:t>
      </w:r>
      <w:r>
        <w:rPr>
          <w:rFonts w:hint="eastAsia" w:ascii="仿宋" w:hAnsi="仿宋" w:eastAsia="仿宋" w:cs="仿宋"/>
          <w:color w:val="auto"/>
          <w:sz w:val="32"/>
          <w:szCs w:val="32"/>
          <w:highlight w:val="none"/>
        </w:rPr>
        <w:t>简单便捷形式召开会议，原则上能釆用视频音频形式召开的会议，不以现场形式召开；尽量釆取小规模座谈会汇报会、专题会等形式研究部署工作。</w:t>
      </w:r>
      <w:r>
        <w:rPr>
          <w:rFonts w:hint="eastAsia" w:ascii="仿宋" w:hAnsi="仿宋" w:eastAsia="仿宋" w:cs="仿宋"/>
          <w:color w:val="auto"/>
          <w:sz w:val="32"/>
          <w:szCs w:val="32"/>
          <w:highlight w:val="none"/>
          <w:lang w:val="en-US" w:eastAsia="zh-CN"/>
        </w:rPr>
        <w:t>使用移动pad办理业务逐步实现</w:t>
      </w:r>
      <w:r>
        <w:rPr>
          <w:rFonts w:hint="eastAsia" w:ascii="仿宋" w:hAnsi="仿宋" w:eastAsia="仿宋" w:cs="仿宋"/>
          <w:color w:val="auto"/>
          <w:sz w:val="32"/>
          <w:szCs w:val="32"/>
          <w:highlight w:val="none"/>
        </w:rPr>
        <w:t>柜面交易无纸化、</w:t>
      </w:r>
      <w:r>
        <w:rPr>
          <w:rFonts w:hint="eastAsia" w:ascii="仿宋" w:hAnsi="仿宋" w:eastAsia="仿宋" w:cs="仿宋"/>
          <w:color w:val="auto"/>
          <w:sz w:val="32"/>
          <w:szCs w:val="32"/>
          <w:highlight w:val="none"/>
          <w:lang w:val="en-US" w:eastAsia="zh-CN"/>
        </w:rPr>
        <w:t>对接大数据平台推出线上贷款。</w:t>
      </w:r>
    </w:p>
    <w:p w14:paraId="66E52DC9">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Chars="0" w:firstLine="640" w:firstLineChars="200"/>
        <w:jc w:val="center"/>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lang w:val="en-US" w:eastAsia="zh-CN"/>
        </w:rPr>
        <w:t>6、食堂管理：</w:t>
      </w:r>
      <w:r>
        <w:rPr>
          <w:rFonts w:hint="eastAsia" w:ascii="仿宋" w:hAnsi="仿宋" w:eastAsia="仿宋" w:cs="仿宋"/>
          <w:color w:val="auto"/>
          <w:sz w:val="32"/>
          <w:szCs w:val="32"/>
          <w:highlight w:val="none"/>
        </w:rPr>
        <w:t>提前收集用餐需求，做适量的饭菜，避免浪费食堂液化石油气、浪费粮食。食堂按照健康、从简原则提供饮食，优化用餐模式，合理搭配菜品保证膳食平衡；个人就餐时按量取餐，不挑食不暴食，践行光盘行动不浪费。</w:t>
      </w:r>
    </w:p>
    <w:p w14:paraId="195B74F3">
      <w:pPr>
        <w:keepNext w:val="0"/>
        <w:keepLines w:val="0"/>
        <w:pageBreakBefore w:val="0"/>
        <w:widowControl w:val="0"/>
        <w:numPr>
          <w:ilvl w:val="0"/>
          <w:numId w:val="0"/>
        </w:numPr>
        <w:kinsoku/>
        <w:wordWrap/>
        <w:overflowPunct/>
        <w:topLinePunct w:val="0"/>
        <w:autoSpaceDE/>
        <w:autoSpaceDN/>
        <w:bidi w:val="0"/>
        <w:adjustRightInd/>
        <w:snapToGrid/>
        <w:spacing w:line="540" w:lineRule="atLeast"/>
        <w:jc w:val="both"/>
        <w:textAlignment w:val="auto"/>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drawing>
          <wp:inline distT="0" distB="0" distL="114300" distR="114300">
            <wp:extent cx="2497455" cy="1584960"/>
            <wp:effectExtent l="0" t="0" r="4445" b="2540"/>
            <wp:docPr id="11" name="图片 11" descr="134b277bf50a3979ef91305db6609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34b277bf50a3979ef91305db6609d5"/>
                    <pic:cNvPicPr>
                      <a:picLocks noChangeAspect="1"/>
                    </pic:cNvPicPr>
                  </pic:nvPicPr>
                  <pic:blipFill>
                    <a:blip r:embed="rId13"/>
                    <a:stretch>
                      <a:fillRect/>
                    </a:stretch>
                  </pic:blipFill>
                  <pic:spPr>
                    <a:xfrm>
                      <a:off x="0" y="0"/>
                      <a:ext cx="2497455" cy="1584960"/>
                    </a:xfrm>
                    <a:prstGeom prst="rect">
                      <a:avLst/>
                    </a:prstGeom>
                  </pic:spPr>
                </pic:pic>
              </a:graphicData>
            </a:graphic>
          </wp:inline>
        </w:drawing>
      </w:r>
      <w:r>
        <w:rPr>
          <w:rFonts w:hint="eastAsia" w:ascii="仿宋" w:hAnsi="仿宋" w:eastAsia="仿宋" w:cs="仿宋"/>
          <w:sz w:val="32"/>
          <w:szCs w:val="32"/>
          <w:highlight w:val="none"/>
          <w:lang w:val="en-US" w:eastAsia="zh-CN"/>
        </w:rPr>
        <w:t xml:space="preserve"> </w:t>
      </w:r>
      <w:r>
        <w:rPr>
          <w:rFonts w:hint="eastAsia" w:ascii="仿宋" w:hAnsi="仿宋" w:eastAsia="仿宋" w:cs="仿宋"/>
          <w:sz w:val="32"/>
          <w:szCs w:val="32"/>
          <w:highlight w:val="none"/>
          <w:lang w:val="en-US" w:eastAsia="zh-CN"/>
        </w:rPr>
        <w:drawing>
          <wp:inline distT="0" distB="0" distL="114300" distR="114300">
            <wp:extent cx="2615565" cy="1614170"/>
            <wp:effectExtent l="0" t="0" r="635" b="11430"/>
            <wp:docPr id="8" name="图片 8" descr="a6df384fcb8df3ea403b99aedd3b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a6df384fcb8df3ea403b99aedd3b141"/>
                    <pic:cNvPicPr>
                      <a:picLocks noChangeAspect="1"/>
                    </pic:cNvPicPr>
                  </pic:nvPicPr>
                  <pic:blipFill>
                    <a:blip r:embed="rId14"/>
                    <a:stretch>
                      <a:fillRect/>
                    </a:stretch>
                  </pic:blipFill>
                  <pic:spPr>
                    <a:xfrm>
                      <a:off x="0" y="0"/>
                      <a:ext cx="2615565" cy="1614170"/>
                    </a:xfrm>
                    <a:prstGeom prst="rect">
                      <a:avLst/>
                    </a:prstGeom>
                  </pic:spPr>
                </pic:pic>
              </a:graphicData>
            </a:graphic>
          </wp:inline>
        </w:drawing>
      </w:r>
      <w:r>
        <w:rPr>
          <w:rFonts w:hint="eastAsia" w:ascii="仿宋" w:hAnsi="仿宋" w:eastAsia="仿宋" w:cs="仿宋"/>
          <w:sz w:val="32"/>
          <w:szCs w:val="32"/>
          <w:highlight w:val="none"/>
          <w:lang w:val="en-US" w:eastAsia="zh-CN"/>
        </w:rPr>
        <w:t xml:space="preserve">  </w:t>
      </w:r>
    </w:p>
    <w:p w14:paraId="5F158062">
      <w:pPr>
        <w:keepNext w:val="0"/>
        <w:keepLines w:val="0"/>
        <w:pageBreakBefore w:val="0"/>
        <w:widowControl w:val="0"/>
        <w:numPr>
          <w:ilvl w:val="0"/>
          <w:numId w:val="0"/>
        </w:numPr>
        <w:kinsoku/>
        <w:wordWrap/>
        <w:overflowPunct/>
        <w:topLinePunct w:val="0"/>
        <w:autoSpaceDE/>
        <w:autoSpaceDN/>
        <w:bidi w:val="0"/>
        <w:adjustRightInd/>
        <w:snapToGrid/>
        <w:spacing w:line="540" w:lineRule="atLeast"/>
        <w:jc w:val="both"/>
        <w:textAlignment w:val="auto"/>
        <w:rPr>
          <w:rFonts w:hint="default"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 xml:space="preserve"> </w:t>
      </w:r>
      <w:r>
        <w:rPr>
          <w:rFonts w:hint="eastAsia" w:ascii="仿宋" w:hAnsi="仿宋" w:eastAsia="仿宋" w:cs="仿宋"/>
          <w:sz w:val="32"/>
          <w:szCs w:val="32"/>
          <w:highlight w:val="none"/>
          <w:lang w:val="en-US" w:eastAsia="zh-CN"/>
        </w:rPr>
        <w:drawing>
          <wp:inline distT="0" distB="0" distL="114300" distR="114300">
            <wp:extent cx="5134610" cy="2381885"/>
            <wp:effectExtent l="0" t="0" r="8890" b="5715"/>
            <wp:docPr id="18" name="图片 18" descr="c98bf7b454fcc3b7b19031c4b2ae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98bf7b454fcc3b7b19031c4b2ae316"/>
                    <pic:cNvPicPr>
                      <a:picLocks noChangeAspect="1"/>
                    </pic:cNvPicPr>
                  </pic:nvPicPr>
                  <pic:blipFill>
                    <a:blip r:embed="rId15"/>
                    <a:stretch>
                      <a:fillRect/>
                    </a:stretch>
                  </pic:blipFill>
                  <pic:spPr>
                    <a:xfrm>
                      <a:off x="0" y="0"/>
                      <a:ext cx="5134610" cy="2381885"/>
                    </a:xfrm>
                    <a:prstGeom prst="rect">
                      <a:avLst/>
                    </a:prstGeom>
                  </pic:spPr>
                </pic:pic>
              </a:graphicData>
            </a:graphic>
          </wp:inline>
        </w:drawing>
      </w:r>
    </w:p>
    <w:p w14:paraId="393C93FB">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b w:val="0"/>
          <w:bCs w:val="0"/>
          <w:sz w:val="32"/>
          <w:szCs w:val="32"/>
          <w:highlight w:val="none"/>
          <w:lang w:val="en-US" w:eastAsia="zh-CN"/>
        </w:rPr>
      </w:pPr>
      <w:r>
        <w:rPr>
          <w:rFonts w:hint="eastAsia" w:ascii="仿宋" w:hAnsi="仿宋" w:eastAsia="仿宋" w:cs="仿宋"/>
          <w:sz w:val="32"/>
          <w:szCs w:val="32"/>
          <w:highlight w:val="none"/>
          <w:lang w:val="en-US" w:eastAsia="zh-CN"/>
        </w:rPr>
        <w:t>7、</w:t>
      </w:r>
      <w:r>
        <w:rPr>
          <w:rFonts w:hint="eastAsia" w:ascii="仿宋" w:hAnsi="仿宋" w:eastAsia="仿宋" w:cs="仿宋"/>
          <w:color w:val="auto"/>
          <w:sz w:val="32"/>
          <w:szCs w:val="32"/>
          <w:highlight w:val="none"/>
          <w:lang w:val="en-US" w:eastAsia="zh-CN"/>
        </w:rPr>
        <w:t>志愿服务：</w:t>
      </w:r>
      <w:r>
        <w:rPr>
          <w:rFonts w:hint="eastAsia" w:ascii="仿宋" w:hAnsi="仿宋" w:eastAsia="仿宋" w:cs="仿宋"/>
          <w:color w:val="auto"/>
          <w:sz w:val="32"/>
          <w:szCs w:val="32"/>
          <w:highlight w:val="none"/>
        </w:rPr>
        <w:t>本行积极组织员工开展环保宣传志愿活动，提高员工环保意识</w:t>
      </w:r>
      <w:r>
        <w:rPr>
          <w:rFonts w:hint="eastAsia" w:ascii="仿宋" w:hAnsi="仿宋" w:eastAsia="仿宋" w:cs="仿宋"/>
          <w:color w:val="auto"/>
          <w:sz w:val="32"/>
          <w:szCs w:val="32"/>
          <w:highlight w:val="none"/>
          <w:lang w:eastAsia="zh-CN"/>
        </w:rPr>
        <w:t>。</w:t>
      </w:r>
      <w:r>
        <w:rPr>
          <w:rFonts w:hint="eastAsia" w:ascii="仿宋" w:hAnsi="仿宋" w:eastAsia="仿宋" w:cs="仿宋"/>
          <w:color w:val="auto"/>
          <w:sz w:val="32"/>
          <w:szCs w:val="32"/>
          <w:highlight w:val="none"/>
          <w:lang w:val="en-US" w:eastAsia="zh-CN"/>
        </w:rPr>
        <w:t>本行积极开展志愿者服务工作，组织员工到社区进行卫生清理志愿服务工作，</w:t>
      </w:r>
      <w:r>
        <w:rPr>
          <w:rFonts w:hint="eastAsia" w:ascii="仿宋" w:hAnsi="仿宋" w:eastAsia="仿宋" w:cs="仿宋"/>
          <w:color w:val="auto"/>
          <w:sz w:val="32"/>
          <w:szCs w:val="32"/>
          <w:highlight w:val="none"/>
        </w:rPr>
        <w:t>对路面垃圾、绿化带杂草杂物、乱堆乱放物进行清理，清除墙壁、电线杆上的非法广告、牛皮癣等</w:t>
      </w:r>
      <w:r>
        <w:rPr>
          <w:rFonts w:hint="eastAsia" w:ascii="仿宋" w:hAnsi="仿宋" w:eastAsia="仿宋" w:cs="仿宋"/>
          <w:color w:val="auto"/>
          <w:sz w:val="32"/>
          <w:szCs w:val="32"/>
          <w:highlight w:val="none"/>
          <w:lang w:val="en-US" w:eastAsia="zh-CN"/>
        </w:rPr>
        <w:t>进行清理，</w:t>
      </w:r>
      <w:r>
        <w:rPr>
          <w:rFonts w:hint="eastAsia" w:ascii="仿宋" w:hAnsi="仿宋" w:eastAsia="仿宋" w:cs="仿宋"/>
          <w:color w:val="auto"/>
          <w:sz w:val="32"/>
          <w:szCs w:val="32"/>
          <w:highlight w:val="none"/>
        </w:rPr>
        <w:t>营造整洁干净的卫生环境。</w:t>
      </w:r>
    </w:p>
    <w:p w14:paraId="7C67883A">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Chars="0" w:firstLine="643" w:firstLineChars="200"/>
        <w:jc w:val="both"/>
        <w:textAlignment w:val="auto"/>
        <w:rPr>
          <w:rFonts w:hint="eastAsia" w:ascii="仿宋" w:hAnsi="仿宋" w:eastAsia="仿宋" w:cs="仿宋"/>
          <w:i w:val="0"/>
          <w:iCs w:val="0"/>
          <w:caps w:val="0"/>
          <w:color w:val="222222"/>
          <w:spacing w:val="8"/>
          <w:sz w:val="32"/>
          <w:szCs w:val="32"/>
          <w:highlight w:val="none"/>
          <w:lang w:eastAsia="zh-CN"/>
        </w:rPr>
      </w:pPr>
      <w:r>
        <w:rPr>
          <w:rFonts w:hint="eastAsia" w:ascii="仿宋" w:hAnsi="仿宋" w:eastAsia="仿宋" w:cs="仿宋"/>
          <w:b/>
          <w:bCs/>
          <w:sz w:val="32"/>
          <w:szCs w:val="32"/>
          <w:highlight w:val="none"/>
          <w:lang w:val="en-US" w:eastAsia="zh-CN"/>
        </w:rPr>
        <w:t>十</w:t>
      </w:r>
      <w:r>
        <w:rPr>
          <w:rFonts w:hint="eastAsia" w:ascii="仿宋" w:hAnsi="仿宋" w:eastAsia="仿宋" w:cs="仿宋"/>
          <w:b/>
          <w:bCs/>
          <w:sz w:val="32"/>
          <w:szCs w:val="32"/>
          <w:highlight w:val="none"/>
          <w:lang w:eastAsia="zh-CN"/>
        </w:rPr>
        <w:t>、</w:t>
      </w:r>
      <w:r>
        <w:rPr>
          <w:rFonts w:hint="eastAsia" w:ascii="仿宋" w:hAnsi="仿宋" w:eastAsia="仿宋" w:cs="仿宋"/>
          <w:b/>
          <w:bCs/>
          <w:sz w:val="32"/>
          <w:szCs w:val="32"/>
          <w:highlight w:val="none"/>
        </w:rPr>
        <w:t>数据梳理、校验及保护</w:t>
      </w:r>
    </w:p>
    <w:p w14:paraId="47676963">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00" w:lineRule="exact"/>
        <w:ind w:left="0" w:right="0" w:firstLine="672" w:firstLineChars="200"/>
        <w:jc w:val="both"/>
        <w:textAlignment w:val="auto"/>
        <w:rPr>
          <w:rFonts w:hint="eastAsia" w:ascii="仿宋" w:hAnsi="仿宋" w:eastAsia="仿宋" w:cs="仿宋"/>
          <w:i w:val="0"/>
          <w:iCs w:val="0"/>
          <w:caps w:val="0"/>
          <w:color w:val="000000"/>
          <w:spacing w:val="8"/>
          <w:sz w:val="32"/>
          <w:szCs w:val="32"/>
          <w:highlight w:val="none"/>
          <w:shd w:val="clear" w:fill="FFFFFF"/>
        </w:rPr>
      </w:pPr>
      <w:r>
        <w:rPr>
          <w:rFonts w:hint="eastAsia" w:ascii="仿宋" w:hAnsi="仿宋" w:eastAsia="仿宋" w:cs="仿宋"/>
          <w:i w:val="0"/>
          <w:iCs w:val="0"/>
          <w:caps w:val="0"/>
          <w:color w:val="000000"/>
          <w:spacing w:val="8"/>
          <w:sz w:val="32"/>
          <w:szCs w:val="32"/>
          <w:highlight w:val="none"/>
          <w:shd w:val="clear" w:fill="FFFFFF"/>
        </w:rPr>
        <w:t>（一）建立归口管理部门，明确职责分工</w:t>
      </w:r>
    </w:p>
    <w:p w14:paraId="6CB06F47">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00" w:lineRule="exact"/>
        <w:ind w:left="0" w:right="0" w:firstLine="672" w:firstLineChars="200"/>
        <w:jc w:val="both"/>
        <w:textAlignment w:val="auto"/>
        <w:rPr>
          <w:rFonts w:hint="eastAsia" w:ascii="仿宋" w:hAnsi="仿宋" w:eastAsia="仿宋" w:cs="仿宋"/>
          <w:i w:val="0"/>
          <w:iCs w:val="0"/>
          <w:caps w:val="0"/>
          <w:color w:val="000000"/>
          <w:spacing w:val="8"/>
          <w:sz w:val="32"/>
          <w:szCs w:val="32"/>
          <w:highlight w:val="none"/>
          <w:shd w:val="clear" w:fill="FFFFFF"/>
        </w:rPr>
      </w:pPr>
      <w:r>
        <w:rPr>
          <w:rFonts w:hint="eastAsia" w:ascii="仿宋" w:hAnsi="仿宋" w:eastAsia="仿宋" w:cs="仿宋"/>
          <w:i w:val="0"/>
          <w:iCs w:val="0"/>
          <w:caps w:val="0"/>
          <w:color w:val="000000"/>
          <w:spacing w:val="8"/>
          <w:sz w:val="32"/>
          <w:szCs w:val="32"/>
          <w:highlight w:val="none"/>
          <w:shd w:val="clear" w:fill="FFFFFF"/>
        </w:rPr>
        <w:t>为进一步全面提升数据质量，实现数据的集中管理，推动金融数据统计工作有效开展，</w:t>
      </w:r>
      <w:r>
        <w:rPr>
          <w:rFonts w:hint="eastAsia" w:ascii="仿宋" w:hAnsi="仿宋" w:eastAsia="仿宋" w:cs="仿宋"/>
          <w:i w:val="0"/>
          <w:iCs w:val="0"/>
          <w:caps w:val="0"/>
          <w:color w:val="000000"/>
          <w:spacing w:val="8"/>
          <w:sz w:val="32"/>
          <w:szCs w:val="32"/>
          <w:highlight w:val="none"/>
          <w:shd w:val="clear" w:fill="FFFFFF"/>
          <w:lang w:eastAsia="zh-CN"/>
        </w:rPr>
        <w:t>本行</w:t>
      </w:r>
      <w:r>
        <w:rPr>
          <w:rFonts w:hint="eastAsia" w:ascii="仿宋" w:hAnsi="仿宋" w:eastAsia="仿宋" w:cs="仿宋"/>
          <w:i w:val="0"/>
          <w:iCs w:val="0"/>
          <w:caps w:val="0"/>
          <w:color w:val="000000"/>
          <w:spacing w:val="8"/>
          <w:sz w:val="32"/>
          <w:szCs w:val="32"/>
          <w:highlight w:val="none"/>
          <w:shd w:val="clear" w:fill="FFFFFF"/>
        </w:rPr>
        <w:t>成立金融数据统计领导小组，组长：董事长，副组长：行长、副行长，成员：</w:t>
      </w:r>
      <w:r>
        <w:rPr>
          <w:rFonts w:hint="eastAsia" w:ascii="仿宋" w:hAnsi="仿宋" w:eastAsia="仿宋" w:cs="仿宋"/>
          <w:i w:val="0"/>
          <w:iCs w:val="0"/>
          <w:caps w:val="0"/>
          <w:color w:val="000000"/>
          <w:spacing w:val="8"/>
          <w:sz w:val="32"/>
          <w:szCs w:val="32"/>
          <w:highlight w:val="none"/>
          <w:shd w:val="clear" w:fill="FFFFFF"/>
          <w:lang w:eastAsia="zh-CN"/>
        </w:rPr>
        <w:t>风险合规部</w:t>
      </w:r>
      <w:r>
        <w:rPr>
          <w:rFonts w:hint="eastAsia" w:ascii="仿宋" w:hAnsi="仿宋" w:eastAsia="仿宋" w:cs="仿宋"/>
          <w:i w:val="0"/>
          <w:iCs w:val="0"/>
          <w:caps w:val="0"/>
          <w:color w:val="000000"/>
          <w:spacing w:val="8"/>
          <w:sz w:val="32"/>
          <w:szCs w:val="32"/>
          <w:highlight w:val="none"/>
          <w:shd w:val="clear" w:fill="FFFFFF"/>
        </w:rPr>
        <w:t>负责人、</w:t>
      </w:r>
      <w:r>
        <w:rPr>
          <w:rFonts w:hint="eastAsia" w:ascii="仿宋" w:hAnsi="仿宋" w:eastAsia="仿宋" w:cs="仿宋"/>
          <w:i w:val="0"/>
          <w:iCs w:val="0"/>
          <w:caps w:val="0"/>
          <w:color w:val="000000"/>
          <w:spacing w:val="8"/>
          <w:sz w:val="32"/>
          <w:szCs w:val="32"/>
          <w:highlight w:val="none"/>
          <w:shd w:val="clear" w:fill="FFFFFF"/>
          <w:lang w:val="en-US" w:eastAsia="zh-CN"/>
        </w:rPr>
        <w:t>业务团队负责人</w:t>
      </w:r>
      <w:r>
        <w:rPr>
          <w:rFonts w:hint="eastAsia" w:ascii="仿宋" w:hAnsi="仿宋" w:eastAsia="仿宋" w:cs="仿宋"/>
          <w:i w:val="0"/>
          <w:iCs w:val="0"/>
          <w:caps w:val="0"/>
          <w:color w:val="000000"/>
          <w:spacing w:val="8"/>
          <w:sz w:val="32"/>
          <w:szCs w:val="32"/>
          <w:highlight w:val="none"/>
          <w:shd w:val="clear" w:fill="FFFFFF"/>
        </w:rPr>
        <w:t>、</w:t>
      </w:r>
      <w:r>
        <w:rPr>
          <w:rFonts w:hint="eastAsia" w:ascii="仿宋" w:hAnsi="仿宋" w:eastAsia="仿宋" w:cs="仿宋"/>
          <w:i w:val="0"/>
          <w:iCs w:val="0"/>
          <w:caps w:val="0"/>
          <w:color w:val="000000"/>
          <w:spacing w:val="8"/>
          <w:sz w:val="32"/>
          <w:szCs w:val="32"/>
          <w:highlight w:val="none"/>
          <w:shd w:val="clear" w:fill="FFFFFF"/>
          <w:lang w:eastAsia="zh-CN"/>
        </w:rPr>
        <w:t>办公室</w:t>
      </w:r>
      <w:r>
        <w:rPr>
          <w:rFonts w:hint="eastAsia" w:ascii="仿宋" w:hAnsi="仿宋" w:eastAsia="仿宋" w:cs="仿宋"/>
          <w:i w:val="0"/>
          <w:iCs w:val="0"/>
          <w:caps w:val="0"/>
          <w:color w:val="000000"/>
          <w:spacing w:val="8"/>
          <w:sz w:val="32"/>
          <w:szCs w:val="32"/>
          <w:highlight w:val="none"/>
          <w:shd w:val="clear" w:fill="FFFFFF"/>
        </w:rPr>
        <w:t>负责人、审计部负责人、</w:t>
      </w:r>
      <w:r>
        <w:rPr>
          <w:rFonts w:hint="eastAsia" w:ascii="仿宋" w:hAnsi="仿宋" w:eastAsia="仿宋" w:cs="仿宋"/>
          <w:i w:val="0"/>
          <w:iCs w:val="0"/>
          <w:caps w:val="0"/>
          <w:color w:val="000000"/>
          <w:spacing w:val="8"/>
          <w:sz w:val="32"/>
          <w:szCs w:val="32"/>
          <w:highlight w:val="none"/>
          <w:shd w:val="clear" w:fill="FFFFFF"/>
          <w:lang w:eastAsia="zh-CN"/>
        </w:rPr>
        <w:t>运营管理部</w:t>
      </w:r>
      <w:r>
        <w:rPr>
          <w:rFonts w:hint="eastAsia" w:ascii="仿宋" w:hAnsi="仿宋" w:eastAsia="仿宋" w:cs="仿宋"/>
          <w:i w:val="0"/>
          <w:iCs w:val="0"/>
          <w:caps w:val="0"/>
          <w:color w:val="000000"/>
          <w:spacing w:val="8"/>
          <w:sz w:val="32"/>
          <w:szCs w:val="32"/>
          <w:highlight w:val="none"/>
          <w:shd w:val="clear" w:fill="FFFFFF"/>
        </w:rPr>
        <w:t>负责人。领导小组下设办公室，办公室设在审计部，归口管理部门为审计部。</w:t>
      </w:r>
    </w:p>
    <w:p w14:paraId="285FF517">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00" w:lineRule="exact"/>
        <w:ind w:right="0" w:firstLine="672" w:firstLineChars="200"/>
        <w:jc w:val="both"/>
        <w:textAlignment w:val="auto"/>
        <w:rPr>
          <w:rFonts w:hint="eastAsia" w:ascii="仿宋" w:hAnsi="仿宋" w:eastAsia="仿宋" w:cs="仿宋"/>
          <w:i w:val="0"/>
          <w:iCs w:val="0"/>
          <w:caps w:val="0"/>
          <w:color w:val="000000"/>
          <w:spacing w:val="8"/>
          <w:sz w:val="32"/>
          <w:szCs w:val="32"/>
          <w:highlight w:val="none"/>
          <w:shd w:val="clear" w:fill="FFFFFF"/>
        </w:rPr>
      </w:pPr>
      <w:r>
        <w:rPr>
          <w:rFonts w:hint="eastAsia" w:ascii="仿宋" w:hAnsi="仿宋" w:eastAsia="仿宋" w:cs="仿宋"/>
          <w:i w:val="0"/>
          <w:iCs w:val="0"/>
          <w:caps w:val="0"/>
          <w:color w:val="000000"/>
          <w:spacing w:val="8"/>
          <w:sz w:val="32"/>
          <w:szCs w:val="32"/>
          <w:highlight w:val="none"/>
          <w:shd w:val="clear" w:fill="FFFFFF"/>
        </w:rPr>
        <w:t>（二）落实复核管理要求，加强质量考核</w:t>
      </w:r>
    </w:p>
    <w:p w14:paraId="2F554C9D">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00" w:lineRule="exact"/>
        <w:ind w:right="0" w:firstLine="672" w:firstLineChars="200"/>
        <w:jc w:val="both"/>
        <w:textAlignment w:val="auto"/>
        <w:rPr>
          <w:rFonts w:hint="eastAsia" w:ascii="仿宋" w:hAnsi="仿宋" w:eastAsia="仿宋" w:cs="仿宋"/>
          <w:i w:val="0"/>
          <w:iCs w:val="0"/>
          <w:caps w:val="0"/>
          <w:color w:val="222222"/>
          <w:spacing w:val="8"/>
          <w:sz w:val="32"/>
          <w:szCs w:val="32"/>
          <w:highlight w:val="none"/>
        </w:rPr>
      </w:pPr>
      <w:r>
        <w:rPr>
          <w:rFonts w:hint="eastAsia" w:ascii="仿宋" w:hAnsi="仿宋" w:eastAsia="仿宋" w:cs="仿宋"/>
          <w:i w:val="0"/>
          <w:iCs w:val="0"/>
          <w:caps w:val="0"/>
          <w:color w:val="000000"/>
          <w:spacing w:val="8"/>
          <w:sz w:val="32"/>
          <w:szCs w:val="32"/>
          <w:highlight w:val="none"/>
          <w:shd w:val="clear" w:fill="FFFFFF"/>
        </w:rPr>
        <w:t>本行通过建立行内数据治理组织架构，加强与绿色贷款专项统计</w:t>
      </w:r>
      <w:r>
        <w:rPr>
          <w:rFonts w:hint="eastAsia" w:ascii="仿宋" w:hAnsi="仿宋" w:eastAsia="仿宋" w:cs="仿宋"/>
          <w:i w:val="0"/>
          <w:iCs w:val="0"/>
          <w:caps w:val="0"/>
          <w:color w:val="000000"/>
          <w:spacing w:val="8"/>
          <w:sz w:val="32"/>
          <w:szCs w:val="32"/>
          <w:highlight w:val="none"/>
          <w:shd w:val="clear" w:fill="FFFFFF"/>
          <w:lang w:eastAsia="zh-CN"/>
        </w:rPr>
        <w:t>工作</w:t>
      </w:r>
      <w:r>
        <w:rPr>
          <w:rFonts w:hint="eastAsia" w:ascii="仿宋" w:hAnsi="仿宋" w:eastAsia="仿宋" w:cs="仿宋"/>
          <w:i w:val="0"/>
          <w:iCs w:val="0"/>
          <w:caps w:val="0"/>
          <w:color w:val="000000"/>
          <w:spacing w:val="8"/>
          <w:sz w:val="32"/>
          <w:szCs w:val="32"/>
          <w:highlight w:val="none"/>
          <w:shd w:val="clear" w:fill="FFFFFF"/>
        </w:rPr>
        <w:t>，及时</w:t>
      </w:r>
      <w:r>
        <w:rPr>
          <w:rFonts w:hint="eastAsia" w:ascii="仿宋" w:hAnsi="仿宋" w:eastAsia="仿宋" w:cs="仿宋"/>
          <w:i w:val="0"/>
          <w:iCs w:val="0"/>
          <w:caps w:val="0"/>
          <w:color w:val="000000"/>
          <w:spacing w:val="8"/>
          <w:sz w:val="32"/>
          <w:szCs w:val="32"/>
          <w:highlight w:val="none"/>
          <w:shd w:val="clear" w:fill="FFFFFF"/>
          <w:lang w:eastAsia="zh-CN"/>
        </w:rPr>
        <w:t>了解监管机构对</w:t>
      </w:r>
      <w:r>
        <w:rPr>
          <w:rFonts w:hint="eastAsia" w:ascii="仿宋" w:hAnsi="仿宋" w:eastAsia="仿宋" w:cs="仿宋"/>
          <w:i w:val="0"/>
          <w:iCs w:val="0"/>
          <w:caps w:val="0"/>
          <w:color w:val="000000"/>
          <w:spacing w:val="8"/>
          <w:sz w:val="32"/>
          <w:szCs w:val="32"/>
          <w:highlight w:val="none"/>
          <w:shd w:val="clear" w:fill="FFFFFF"/>
        </w:rPr>
        <w:t>绿色贷款分类的指导意见及各项要求，</w:t>
      </w:r>
      <w:r>
        <w:rPr>
          <w:rFonts w:hint="eastAsia" w:ascii="仿宋" w:hAnsi="仿宋" w:eastAsia="仿宋" w:cs="仿宋"/>
          <w:i w:val="0"/>
          <w:iCs w:val="0"/>
          <w:caps w:val="0"/>
          <w:color w:val="000000"/>
          <w:spacing w:val="8"/>
          <w:sz w:val="32"/>
          <w:szCs w:val="32"/>
          <w:highlight w:val="none"/>
          <w:shd w:val="clear" w:fill="FFFFFF"/>
          <w:lang w:eastAsia="zh-CN"/>
        </w:rPr>
        <w:t>不断</w:t>
      </w:r>
      <w:r>
        <w:rPr>
          <w:rFonts w:hint="eastAsia" w:ascii="仿宋" w:hAnsi="仿宋" w:eastAsia="仿宋" w:cs="仿宋"/>
          <w:i w:val="0"/>
          <w:iCs w:val="0"/>
          <w:caps w:val="0"/>
          <w:color w:val="000000"/>
          <w:spacing w:val="8"/>
          <w:sz w:val="32"/>
          <w:szCs w:val="32"/>
          <w:highlight w:val="none"/>
          <w:shd w:val="clear" w:fill="FFFFFF"/>
        </w:rPr>
        <w:t>提升</w:t>
      </w:r>
      <w:r>
        <w:rPr>
          <w:rFonts w:hint="eastAsia" w:ascii="仿宋" w:hAnsi="仿宋" w:eastAsia="仿宋" w:cs="仿宋"/>
          <w:i w:val="0"/>
          <w:iCs w:val="0"/>
          <w:caps w:val="0"/>
          <w:color w:val="000000"/>
          <w:spacing w:val="8"/>
          <w:sz w:val="32"/>
          <w:szCs w:val="32"/>
          <w:highlight w:val="none"/>
          <w:shd w:val="clear" w:fill="FFFFFF"/>
          <w:lang w:eastAsia="zh-CN"/>
        </w:rPr>
        <w:t>本行</w:t>
      </w:r>
      <w:r>
        <w:rPr>
          <w:rFonts w:hint="eastAsia" w:ascii="仿宋" w:hAnsi="仿宋" w:eastAsia="仿宋" w:cs="仿宋"/>
          <w:i w:val="0"/>
          <w:iCs w:val="0"/>
          <w:caps w:val="0"/>
          <w:color w:val="000000"/>
          <w:spacing w:val="8"/>
          <w:sz w:val="32"/>
          <w:szCs w:val="32"/>
          <w:highlight w:val="none"/>
          <w:shd w:val="clear" w:fill="FFFFFF"/>
        </w:rPr>
        <w:t>绿色贷款数据统计工作质量。</w:t>
      </w:r>
    </w:p>
    <w:p w14:paraId="6FA99C6E">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00" w:lineRule="exact"/>
        <w:ind w:left="0" w:right="0" w:firstLine="672" w:firstLineChars="200"/>
        <w:jc w:val="both"/>
        <w:textAlignment w:val="auto"/>
        <w:rPr>
          <w:rFonts w:hint="eastAsia" w:ascii="仿宋" w:hAnsi="仿宋" w:eastAsia="仿宋" w:cs="仿宋"/>
          <w:i w:val="0"/>
          <w:iCs w:val="0"/>
          <w:caps w:val="0"/>
          <w:color w:val="000000"/>
          <w:spacing w:val="8"/>
          <w:sz w:val="32"/>
          <w:szCs w:val="32"/>
          <w:highlight w:val="none"/>
          <w:shd w:val="clear" w:fill="FFFFFF"/>
        </w:rPr>
      </w:pPr>
      <w:r>
        <w:rPr>
          <w:rFonts w:hint="eastAsia" w:ascii="仿宋" w:hAnsi="仿宋" w:eastAsia="仿宋" w:cs="仿宋"/>
          <w:i w:val="0"/>
          <w:iCs w:val="0"/>
          <w:caps w:val="0"/>
          <w:color w:val="000000"/>
          <w:spacing w:val="8"/>
          <w:sz w:val="32"/>
          <w:szCs w:val="32"/>
          <w:highlight w:val="none"/>
          <w:shd w:val="clear" w:fill="FFFFFF"/>
          <w:lang w:eastAsia="zh-CN"/>
        </w:rPr>
        <w:t>本行</w:t>
      </w:r>
      <w:r>
        <w:rPr>
          <w:rFonts w:hint="eastAsia" w:ascii="仿宋" w:hAnsi="仿宋" w:eastAsia="仿宋" w:cs="仿宋"/>
          <w:i w:val="0"/>
          <w:iCs w:val="0"/>
          <w:caps w:val="0"/>
          <w:color w:val="000000"/>
          <w:spacing w:val="8"/>
          <w:sz w:val="32"/>
          <w:szCs w:val="32"/>
          <w:highlight w:val="none"/>
          <w:shd w:val="clear" w:fill="FFFFFF"/>
        </w:rPr>
        <w:t>由审计部正式任命并备案的复核人员对所有待报报表进行复核，对上报数据差错进行确认、登记并要求填报责任部门分析原因并整改，各部门以及各分支机构主要负责人对本单位统计工作负主要责任，对本单位统计数据的真实性负责，每张报表的对外报送都需要建立严格的复核审批机制，经办人、复核人、行长或董事长须对报表签字确认后才能对外报送，编制对外报送报表数据审批表，签字确认的审批表须留档保存，后期检查中重点核实落实情况。</w:t>
      </w:r>
    </w:p>
    <w:p w14:paraId="726EF649">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00" w:lineRule="exact"/>
        <w:ind w:left="0" w:right="0" w:firstLine="672" w:firstLineChars="200"/>
        <w:jc w:val="both"/>
        <w:textAlignment w:val="auto"/>
        <w:rPr>
          <w:rFonts w:hint="eastAsia" w:ascii="仿宋" w:hAnsi="仿宋" w:eastAsia="仿宋" w:cs="仿宋"/>
          <w:i w:val="0"/>
          <w:iCs w:val="0"/>
          <w:caps w:val="0"/>
          <w:color w:val="000000"/>
          <w:spacing w:val="8"/>
          <w:sz w:val="32"/>
          <w:szCs w:val="32"/>
          <w:highlight w:val="none"/>
          <w:shd w:val="clear" w:fill="FFFFFF"/>
        </w:rPr>
      </w:pPr>
      <w:r>
        <w:rPr>
          <w:rFonts w:hint="eastAsia" w:ascii="仿宋" w:hAnsi="仿宋" w:eastAsia="仿宋" w:cs="仿宋"/>
          <w:i w:val="0"/>
          <w:iCs w:val="0"/>
          <w:caps w:val="0"/>
          <w:color w:val="000000"/>
          <w:spacing w:val="8"/>
          <w:sz w:val="32"/>
          <w:szCs w:val="32"/>
          <w:highlight w:val="none"/>
          <w:shd w:val="clear" w:fill="FFFFFF"/>
        </w:rPr>
        <w:t>（三）强化数据检查工作，提高报送质量</w:t>
      </w:r>
    </w:p>
    <w:p w14:paraId="3432E9D8">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00" w:lineRule="exact"/>
        <w:ind w:left="0" w:right="0" w:firstLine="672" w:firstLineChars="200"/>
        <w:jc w:val="both"/>
        <w:textAlignment w:val="auto"/>
        <w:rPr>
          <w:rFonts w:hint="eastAsia" w:ascii="仿宋" w:hAnsi="仿宋" w:eastAsia="仿宋" w:cs="仿宋"/>
          <w:i w:val="0"/>
          <w:iCs w:val="0"/>
          <w:caps w:val="0"/>
          <w:color w:val="000000"/>
          <w:spacing w:val="8"/>
          <w:sz w:val="32"/>
          <w:szCs w:val="32"/>
          <w:highlight w:val="none"/>
          <w:shd w:val="clear" w:fill="FFFFFF"/>
        </w:rPr>
      </w:pPr>
      <w:r>
        <w:rPr>
          <w:rFonts w:hint="eastAsia" w:ascii="仿宋" w:hAnsi="仿宋" w:eastAsia="仿宋" w:cs="仿宋"/>
          <w:i w:val="0"/>
          <w:iCs w:val="0"/>
          <w:caps w:val="0"/>
          <w:color w:val="000000"/>
          <w:spacing w:val="8"/>
          <w:sz w:val="32"/>
          <w:szCs w:val="32"/>
          <w:highlight w:val="none"/>
          <w:shd w:val="clear" w:fill="FFFFFF"/>
        </w:rPr>
        <w:t>审计部负责建立覆盖数据统计工作全流程的数据质量监控机制，并督促各业务部门负责对数据实施有效的跟踪监控，发现数据质量问题，反馈到相关责任部门并督促其及时纠正。将发生的差错问题会登记入问题库，按差错的性质、金额大小、差错重复次数等因素进行考核。考核结果纳入违规积分管理，纳入全年绩效考核。</w:t>
      </w:r>
    </w:p>
    <w:p w14:paraId="11C8DE3F">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00" w:lineRule="exact"/>
        <w:ind w:left="0" w:right="0" w:firstLine="672" w:firstLineChars="200"/>
        <w:jc w:val="both"/>
        <w:textAlignment w:val="auto"/>
        <w:rPr>
          <w:rFonts w:hint="eastAsia" w:ascii="仿宋" w:hAnsi="仿宋" w:eastAsia="仿宋" w:cs="仿宋"/>
          <w:i w:val="0"/>
          <w:iCs w:val="0"/>
          <w:caps w:val="0"/>
          <w:color w:val="000000"/>
          <w:spacing w:val="8"/>
          <w:sz w:val="32"/>
          <w:szCs w:val="32"/>
          <w:highlight w:val="none"/>
          <w:shd w:val="clear" w:fill="FFFFFF"/>
          <w:lang w:eastAsia="zh-CN"/>
        </w:rPr>
      </w:pPr>
      <w:r>
        <w:rPr>
          <w:rFonts w:hint="eastAsia" w:ascii="仿宋" w:hAnsi="仿宋" w:eastAsia="仿宋" w:cs="仿宋"/>
          <w:i w:val="0"/>
          <w:iCs w:val="0"/>
          <w:caps w:val="0"/>
          <w:color w:val="000000"/>
          <w:spacing w:val="8"/>
          <w:sz w:val="32"/>
          <w:szCs w:val="32"/>
          <w:highlight w:val="none"/>
          <w:shd w:val="clear" w:fill="FFFFFF"/>
        </w:rPr>
        <w:t>（四）建立数据信息安全保障制度体系</w:t>
      </w:r>
    </w:p>
    <w:p w14:paraId="1B1A440F">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00" w:lineRule="exact"/>
        <w:ind w:left="0" w:right="0" w:firstLine="672" w:firstLineChars="200"/>
        <w:jc w:val="both"/>
        <w:textAlignment w:val="auto"/>
        <w:rPr>
          <w:rFonts w:hint="eastAsia" w:ascii="仿宋" w:hAnsi="仿宋" w:eastAsia="仿宋" w:cs="仿宋"/>
          <w:i w:val="0"/>
          <w:iCs w:val="0"/>
          <w:caps w:val="0"/>
          <w:color w:val="000000"/>
          <w:spacing w:val="8"/>
          <w:sz w:val="32"/>
          <w:szCs w:val="32"/>
          <w:highlight w:val="none"/>
          <w:shd w:val="clear" w:fill="FFFFFF"/>
        </w:rPr>
      </w:pPr>
      <w:r>
        <w:rPr>
          <w:rFonts w:hint="eastAsia" w:ascii="仿宋" w:hAnsi="仿宋" w:eastAsia="仿宋" w:cs="仿宋"/>
          <w:i w:val="0"/>
          <w:iCs w:val="0"/>
          <w:caps w:val="0"/>
          <w:color w:val="000000"/>
          <w:spacing w:val="8"/>
          <w:sz w:val="32"/>
          <w:szCs w:val="32"/>
          <w:highlight w:val="none"/>
          <w:shd w:val="clear" w:fill="FFFFFF"/>
        </w:rPr>
        <w:t>本行实行信息安全“一把手”责任制，董事长为本机构信息安全工作的第一负责人，确保信息安全管理工作持续有序开展。数据管理遵循“谁使用谁负责、谁使用谁销毁”的安全原则。数据持有者和使用者必须在权限范围内合法使用数据，不得泄漏或非授权使用。建立计算机设备的销毁和报废管理流程。对移动计算机、移动处理设备、移动存储介质等移动设备进行安全管理，确保在使用移动设备过程中不会泄漏敏感信息。</w:t>
      </w:r>
    </w:p>
    <w:p w14:paraId="56D83625">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00" w:lineRule="exact"/>
        <w:ind w:left="0" w:right="0" w:firstLine="672" w:firstLineChars="200"/>
        <w:jc w:val="both"/>
        <w:textAlignment w:val="auto"/>
        <w:rPr>
          <w:rFonts w:hint="eastAsia" w:ascii="仿宋" w:hAnsi="仿宋" w:eastAsia="仿宋" w:cs="仿宋"/>
          <w:i w:val="0"/>
          <w:iCs w:val="0"/>
          <w:caps w:val="0"/>
          <w:color w:val="000000"/>
          <w:spacing w:val="8"/>
          <w:sz w:val="32"/>
          <w:szCs w:val="32"/>
          <w:highlight w:val="none"/>
          <w:shd w:val="clear" w:fill="FFFFFF"/>
        </w:rPr>
      </w:pPr>
      <w:r>
        <w:rPr>
          <w:rFonts w:hint="eastAsia" w:ascii="仿宋" w:hAnsi="仿宋" w:eastAsia="仿宋" w:cs="仿宋"/>
          <w:i w:val="0"/>
          <w:iCs w:val="0"/>
          <w:caps w:val="0"/>
          <w:color w:val="000000"/>
          <w:spacing w:val="8"/>
          <w:sz w:val="32"/>
          <w:szCs w:val="32"/>
          <w:highlight w:val="none"/>
          <w:shd w:val="clear" w:fill="FFFFFF"/>
        </w:rPr>
        <w:t>本行委托主发起行上海农商银行参与、监督、指导本行信息科技管理工作，为本行提供信息科技规划、建设、运维、风险管理以及信息科技审计等科技服务。本行不断建立和完善信息安全管理规章制度和操作程序，规范和加强信息安全管理工作。制定了《桂阳沪农商村镇银行信息科技管理办法》《桂阳沪农商村镇银行信息科技风险管理办法》《桂阳沪农商村镇银行信息科技风险评估办法》，成立了由信息科技</w:t>
      </w:r>
      <w:r>
        <w:rPr>
          <w:rFonts w:hint="eastAsia" w:ascii="仿宋" w:hAnsi="仿宋" w:eastAsia="仿宋" w:cs="仿宋"/>
          <w:i w:val="0"/>
          <w:iCs w:val="0"/>
          <w:caps w:val="0"/>
          <w:color w:val="000000"/>
          <w:spacing w:val="8"/>
          <w:sz w:val="32"/>
          <w:szCs w:val="32"/>
          <w:highlight w:val="none"/>
          <w:shd w:val="clear" w:fill="FFFFFF"/>
          <w:lang w:val="en-US" w:eastAsia="zh-CN"/>
        </w:rPr>
        <w:t>委员会</w:t>
      </w:r>
      <w:r>
        <w:rPr>
          <w:rFonts w:hint="eastAsia" w:ascii="仿宋" w:hAnsi="仿宋" w:eastAsia="仿宋" w:cs="仿宋"/>
          <w:i w:val="0"/>
          <w:iCs w:val="0"/>
          <w:caps w:val="0"/>
          <w:color w:val="000000"/>
          <w:spacing w:val="8"/>
          <w:sz w:val="32"/>
          <w:szCs w:val="32"/>
          <w:highlight w:val="none"/>
          <w:shd w:val="clear" w:fill="FFFFFF"/>
        </w:rPr>
        <w:t>，主要负责协调落实各项资源，确保</w:t>
      </w:r>
      <w:r>
        <w:rPr>
          <w:rFonts w:hint="eastAsia" w:ascii="仿宋" w:hAnsi="仿宋" w:eastAsia="仿宋" w:cs="仿宋"/>
          <w:i w:val="0"/>
          <w:iCs w:val="0"/>
          <w:caps w:val="0"/>
          <w:color w:val="000000"/>
          <w:spacing w:val="8"/>
          <w:sz w:val="32"/>
          <w:szCs w:val="32"/>
          <w:highlight w:val="none"/>
          <w:shd w:val="clear" w:fill="FFFFFF"/>
          <w:lang w:eastAsia="zh-CN"/>
        </w:rPr>
        <w:t>本行</w:t>
      </w:r>
      <w:r>
        <w:rPr>
          <w:rFonts w:hint="eastAsia" w:ascii="仿宋" w:hAnsi="仿宋" w:eastAsia="仿宋" w:cs="仿宋"/>
          <w:i w:val="0"/>
          <w:iCs w:val="0"/>
          <w:caps w:val="0"/>
          <w:color w:val="000000"/>
          <w:spacing w:val="8"/>
          <w:sz w:val="32"/>
          <w:szCs w:val="32"/>
          <w:highlight w:val="none"/>
          <w:shd w:val="clear" w:fill="FFFFFF"/>
        </w:rPr>
        <w:t>信息安全管理工作有序开展；定期向主发起行反馈本行信息科技工作情况，提出所委托的信息科技服务优化建议。</w:t>
      </w:r>
    </w:p>
    <w:p w14:paraId="7EC24E16">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00" w:lineRule="exact"/>
        <w:ind w:left="0" w:right="0" w:firstLine="672" w:firstLineChars="200"/>
        <w:jc w:val="both"/>
        <w:textAlignment w:val="auto"/>
        <w:rPr>
          <w:rFonts w:hint="eastAsia" w:ascii="仿宋" w:hAnsi="仿宋" w:eastAsia="仿宋" w:cs="仿宋"/>
          <w:i w:val="0"/>
          <w:iCs w:val="0"/>
          <w:caps w:val="0"/>
          <w:color w:val="000000"/>
          <w:spacing w:val="8"/>
          <w:sz w:val="32"/>
          <w:szCs w:val="32"/>
          <w:highlight w:val="none"/>
          <w:shd w:val="clear" w:fill="FFFFFF"/>
        </w:rPr>
      </w:pPr>
      <w:r>
        <w:rPr>
          <w:rFonts w:hint="eastAsia" w:ascii="仿宋" w:hAnsi="仿宋" w:eastAsia="仿宋" w:cs="仿宋"/>
          <w:i w:val="0"/>
          <w:iCs w:val="0"/>
          <w:caps w:val="0"/>
          <w:color w:val="000000"/>
          <w:spacing w:val="8"/>
          <w:sz w:val="32"/>
          <w:szCs w:val="32"/>
          <w:highlight w:val="none"/>
          <w:shd w:val="clear" w:fill="FFFFFF"/>
        </w:rPr>
        <w:t>本行设置了专职科技人员1名，具备专业技能和经验，每年从人员安全管理、机房安全管理、客户端安全、数据安全管理、安全事件管理等方面开展信息科技安全检查。每年进行信息科技风险评估，认清本行信息科技面临的风险环境，并通过采取及时有效的风险处置措施，提高风险防范能力，促进信息系统安全、稳健、持续、高效运行。</w:t>
      </w:r>
    </w:p>
    <w:p w14:paraId="7D291EFD">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00" w:lineRule="exact"/>
        <w:ind w:left="0" w:right="0" w:firstLine="672" w:firstLineChars="200"/>
        <w:jc w:val="both"/>
        <w:textAlignment w:val="auto"/>
        <w:rPr>
          <w:rFonts w:hint="eastAsia" w:ascii="仿宋" w:hAnsi="仿宋" w:eastAsia="仿宋" w:cs="仿宋"/>
          <w:i w:val="0"/>
          <w:iCs w:val="0"/>
          <w:caps w:val="0"/>
          <w:color w:val="000000"/>
          <w:spacing w:val="8"/>
          <w:sz w:val="32"/>
          <w:szCs w:val="32"/>
          <w:highlight w:val="none"/>
          <w:shd w:val="clear" w:fill="FFFFFF"/>
        </w:rPr>
      </w:pPr>
      <w:r>
        <w:rPr>
          <w:rFonts w:hint="eastAsia" w:ascii="仿宋" w:hAnsi="仿宋" w:eastAsia="仿宋" w:cs="仿宋"/>
          <w:i w:val="0"/>
          <w:iCs w:val="0"/>
          <w:caps w:val="0"/>
          <w:color w:val="000000"/>
          <w:spacing w:val="8"/>
          <w:sz w:val="32"/>
          <w:szCs w:val="32"/>
          <w:highlight w:val="none"/>
          <w:shd w:val="clear" w:fill="FFFFFF"/>
        </w:rPr>
        <w:t>（五）建立应急预案，及时采取应急措施</w:t>
      </w:r>
    </w:p>
    <w:p w14:paraId="285CEFAC">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00" w:lineRule="exact"/>
        <w:ind w:left="0" w:right="0" w:firstLine="672" w:firstLineChars="200"/>
        <w:jc w:val="both"/>
        <w:textAlignment w:val="auto"/>
        <w:rPr>
          <w:rFonts w:hint="eastAsia" w:ascii="仿宋" w:hAnsi="仿宋" w:eastAsia="仿宋" w:cs="仿宋"/>
          <w:sz w:val="32"/>
          <w:szCs w:val="32"/>
          <w:highlight w:val="none"/>
          <w:lang w:val="en-US" w:eastAsia="zh-CN"/>
        </w:rPr>
      </w:pPr>
      <w:r>
        <w:rPr>
          <w:rFonts w:hint="eastAsia" w:ascii="仿宋" w:hAnsi="仿宋" w:eastAsia="仿宋" w:cs="仿宋"/>
          <w:i w:val="0"/>
          <w:iCs w:val="0"/>
          <w:caps w:val="0"/>
          <w:color w:val="000000"/>
          <w:spacing w:val="8"/>
          <w:sz w:val="32"/>
          <w:szCs w:val="32"/>
          <w:highlight w:val="none"/>
          <w:shd w:val="clear" w:fill="FFFFFF"/>
        </w:rPr>
        <w:t>由</w:t>
      </w:r>
      <w:r>
        <w:rPr>
          <w:rFonts w:hint="eastAsia" w:ascii="仿宋" w:hAnsi="仿宋" w:eastAsia="仿宋" w:cs="仿宋"/>
          <w:i w:val="0"/>
          <w:iCs w:val="0"/>
          <w:caps w:val="0"/>
          <w:color w:val="000000"/>
          <w:spacing w:val="8"/>
          <w:sz w:val="32"/>
          <w:szCs w:val="32"/>
          <w:highlight w:val="none"/>
          <w:shd w:val="clear" w:fill="FFFFFF"/>
          <w:lang w:eastAsia="zh-CN"/>
        </w:rPr>
        <w:t>办公室</w:t>
      </w:r>
      <w:r>
        <w:rPr>
          <w:rFonts w:hint="eastAsia" w:ascii="仿宋" w:hAnsi="仿宋" w:eastAsia="仿宋" w:cs="仿宋"/>
          <w:i w:val="0"/>
          <w:iCs w:val="0"/>
          <w:caps w:val="0"/>
          <w:color w:val="000000"/>
          <w:spacing w:val="8"/>
          <w:sz w:val="32"/>
          <w:szCs w:val="32"/>
          <w:highlight w:val="none"/>
          <w:shd w:val="clear" w:fill="FFFFFF"/>
        </w:rPr>
        <w:t>牵头，制定本行信息科技突发事件应急预案，并定期组织信息科技应急演练，持续改进预案内容，保证预案的可读性与可操作性。对于发生的数据安全事件，依照事件影响范围及持续时间等因素将信息科技突发事件分为三级，以生产优先为主要目标、以协同配合为主要原则，采取高效的应急措施，尽快恢复对外生产业务开展，保证业务连续性。由专职科技人员监督委托主发起行开展的应急管理工作，并根据主发起行要求做好各项配合工作</w:t>
      </w:r>
      <w:r>
        <w:rPr>
          <w:rFonts w:hint="eastAsia" w:ascii="仿宋" w:hAnsi="仿宋" w:eastAsia="仿宋" w:cs="仿宋"/>
          <w:i w:val="0"/>
          <w:iCs w:val="0"/>
          <w:caps w:val="0"/>
          <w:color w:val="000000"/>
          <w:spacing w:val="8"/>
          <w:sz w:val="32"/>
          <w:szCs w:val="32"/>
          <w:highlight w:val="none"/>
          <w:shd w:val="clear" w:fill="FFFFFF"/>
          <w:lang w:eastAsia="zh-CN"/>
        </w:rPr>
        <w:t>，</w:t>
      </w:r>
      <w:r>
        <w:rPr>
          <w:rFonts w:hint="eastAsia" w:ascii="仿宋" w:hAnsi="仿宋" w:eastAsia="仿宋" w:cs="仿宋"/>
          <w:i w:val="0"/>
          <w:iCs w:val="0"/>
          <w:caps w:val="0"/>
          <w:color w:val="000000"/>
          <w:spacing w:val="8"/>
          <w:sz w:val="32"/>
          <w:szCs w:val="32"/>
          <w:highlight w:val="none"/>
          <w:shd w:val="clear" w:fill="FFFFFF"/>
        </w:rPr>
        <w:t>确保本行数据治理工作稳定有序发展。</w:t>
      </w:r>
    </w:p>
    <w:p w14:paraId="272FAD55">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Chars="0" w:firstLine="643" w:firstLineChars="200"/>
        <w:textAlignment w:val="auto"/>
        <w:rPr>
          <w:rFonts w:hint="eastAsia" w:ascii="仿宋" w:hAnsi="仿宋" w:eastAsia="仿宋" w:cs="仿宋"/>
          <w:b/>
          <w:bCs/>
          <w:sz w:val="32"/>
          <w:szCs w:val="32"/>
          <w:highlight w:val="none"/>
          <w:lang w:val="en-US" w:eastAsia="zh-CN"/>
        </w:rPr>
      </w:pPr>
      <w:r>
        <w:rPr>
          <w:rFonts w:hint="eastAsia" w:ascii="仿宋" w:hAnsi="仿宋" w:eastAsia="仿宋" w:cs="仿宋"/>
          <w:b/>
          <w:bCs/>
          <w:sz w:val="32"/>
          <w:szCs w:val="32"/>
          <w:highlight w:val="none"/>
          <w:lang w:val="en-US" w:eastAsia="zh-CN"/>
        </w:rPr>
        <w:t>十一、绿色金融创新及研究成果</w:t>
      </w:r>
    </w:p>
    <w:p w14:paraId="14AA71EF">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Chars="0" w:firstLine="640" w:firstLineChars="200"/>
        <w:textAlignment w:val="auto"/>
        <w:rPr>
          <w:rFonts w:hint="eastAsia" w:ascii="仿宋" w:hAnsi="仿宋" w:eastAsia="仿宋" w:cs="仿宋"/>
          <w:sz w:val="32"/>
          <w:szCs w:val="32"/>
          <w:highlight w:val="none"/>
          <w:lang w:eastAsia="zh-CN"/>
        </w:rPr>
      </w:pPr>
      <w:r>
        <w:rPr>
          <w:rFonts w:hint="eastAsia" w:ascii="仿宋" w:hAnsi="仿宋" w:eastAsia="仿宋" w:cs="仿宋"/>
          <w:sz w:val="32"/>
          <w:szCs w:val="32"/>
          <w:highlight w:val="none"/>
          <w:lang w:eastAsia="zh-CN"/>
        </w:rPr>
        <w:t>202</w:t>
      </w:r>
      <w:r>
        <w:rPr>
          <w:rFonts w:hint="eastAsia" w:ascii="仿宋" w:hAnsi="仿宋" w:eastAsia="仿宋" w:cs="仿宋"/>
          <w:sz w:val="32"/>
          <w:szCs w:val="32"/>
          <w:highlight w:val="none"/>
          <w:lang w:val="en-US" w:eastAsia="zh-CN"/>
        </w:rPr>
        <w:t>5</w:t>
      </w:r>
      <w:r>
        <w:rPr>
          <w:rFonts w:hint="eastAsia" w:ascii="仿宋" w:hAnsi="仿宋" w:eastAsia="仿宋" w:cs="仿宋"/>
          <w:sz w:val="32"/>
          <w:szCs w:val="32"/>
          <w:highlight w:val="none"/>
          <w:lang w:eastAsia="zh-CN"/>
        </w:rPr>
        <w:t>年，本行进一步加强移动银行金融功能优化，升级移动银行中超级网银等相关支付结算功能，丰富移动银行板块。金融科技服务创新在为客户提供便捷、高效、绿色金融服务的同时，节约人工成本，提升平台风控能力,有效提高本行业务及服务质量，加强数据驱动业务能力。</w:t>
      </w:r>
    </w:p>
    <w:p w14:paraId="3E8D1777">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Chars="0" w:firstLine="640" w:firstLineChars="200"/>
        <w:textAlignment w:val="auto"/>
        <w:rPr>
          <w:rFonts w:hint="eastAsia" w:ascii="仿宋" w:hAnsi="仿宋" w:eastAsia="仿宋" w:cs="仿宋"/>
          <w:sz w:val="32"/>
          <w:szCs w:val="32"/>
          <w:highlight w:val="none"/>
          <w:lang w:eastAsia="zh-CN"/>
        </w:rPr>
      </w:pPr>
      <w:r>
        <w:rPr>
          <w:rFonts w:hint="eastAsia" w:ascii="仿宋" w:hAnsi="仿宋" w:eastAsia="仿宋" w:cs="仿宋"/>
          <w:sz w:val="32"/>
          <w:szCs w:val="32"/>
          <w:highlight w:val="none"/>
          <w:lang w:eastAsia="zh-CN"/>
        </w:rPr>
        <w:t>本行打造了以手机银行、网上银行等为主体的多渠道电子银行服务体系，并结合大数据以及风控模型推出线上信贷产品，持续推动金融业务绿色低碳高质量发展。</w:t>
      </w:r>
    </w:p>
    <w:tbl>
      <w:tblPr>
        <w:tblStyle w:val="13"/>
        <w:tblW w:w="853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72"/>
        <w:gridCol w:w="1512"/>
        <w:gridCol w:w="1704"/>
        <w:gridCol w:w="3250"/>
      </w:tblGrid>
      <w:tr w14:paraId="7A5535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072" w:type="dxa"/>
          </w:tcPr>
          <w:p w14:paraId="5F27062D">
            <w:pPr>
              <w:pStyle w:val="16"/>
              <w:keepNext w:val="0"/>
              <w:keepLines w:val="0"/>
              <w:pageBreakBefore w:val="0"/>
              <w:kinsoku/>
              <w:wordWrap/>
              <w:overflowPunct/>
              <w:topLinePunct w:val="0"/>
              <w:autoSpaceDE/>
              <w:autoSpaceDN/>
              <w:bidi w:val="0"/>
              <w:adjustRightInd/>
              <w:snapToGrid/>
              <w:spacing w:before="56" w:line="540" w:lineRule="atLeast"/>
              <w:ind w:left="577" w:right="124" w:hanging="440"/>
              <w:jc w:val="center"/>
              <w:textAlignment w:val="auto"/>
              <w:rPr>
                <w:rFonts w:hint="default"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电子银行类型</w:t>
            </w:r>
          </w:p>
        </w:tc>
        <w:tc>
          <w:tcPr>
            <w:tcW w:w="1512" w:type="dxa"/>
          </w:tcPr>
          <w:p w14:paraId="1617DDBF">
            <w:pPr>
              <w:pStyle w:val="16"/>
              <w:keepNext w:val="0"/>
              <w:keepLines w:val="0"/>
              <w:pageBreakBefore w:val="0"/>
              <w:kinsoku/>
              <w:wordWrap/>
              <w:overflowPunct/>
              <w:topLinePunct w:val="0"/>
              <w:autoSpaceDE/>
              <w:autoSpaceDN/>
              <w:bidi w:val="0"/>
              <w:adjustRightInd/>
              <w:snapToGrid/>
              <w:spacing w:before="56" w:line="540" w:lineRule="atLeast"/>
              <w:ind w:left="577" w:right="124" w:hanging="440"/>
              <w:jc w:val="center"/>
              <w:textAlignment w:val="auto"/>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笔数（笔）</w:t>
            </w:r>
          </w:p>
        </w:tc>
        <w:tc>
          <w:tcPr>
            <w:tcW w:w="1704" w:type="dxa"/>
          </w:tcPr>
          <w:p w14:paraId="28FEE23B">
            <w:pPr>
              <w:pStyle w:val="16"/>
              <w:keepNext w:val="0"/>
              <w:keepLines w:val="0"/>
              <w:pageBreakBefore w:val="0"/>
              <w:kinsoku/>
              <w:wordWrap/>
              <w:overflowPunct/>
              <w:topLinePunct w:val="0"/>
              <w:autoSpaceDE/>
              <w:autoSpaceDN/>
              <w:bidi w:val="0"/>
              <w:adjustRightInd/>
              <w:snapToGrid/>
              <w:spacing w:before="56" w:line="540" w:lineRule="atLeast"/>
              <w:ind w:left="577" w:right="124" w:hanging="440"/>
              <w:jc w:val="center"/>
              <w:textAlignment w:val="auto"/>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金额（万元）</w:t>
            </w:r>
          </w:p>
        </w:tc>
        <w:tc>
          <w:tcPr>
            <w:tcW w:w="3250" w:type="dxa"/>
          </w:tcPr>
          <w:p w14:paraId="030F0F2F">
            <w:pPr>
              <w:pStyle w:val="16"/>
              <w:keepNext w:val="0"/>
              <w:keepLines w:val="0"/>
              <w:pageBreakBefore w:val="0"/>
              <w:kinsoku/>
              <w:wordWrap/>
              <w:overflowPunct/>
              <w:topLinePunct w:val="0"/>
              <w:autoSpaceDE/>
              <w:autoSpaceDN/>
              <w:bidi w:val="0"/>
              <w:adjustRightInd/>
              <w:snapToGrid/>
              <w:spacing w:before="56" w:line="540" w:lineRule="atLeast"/>
              <w:ind w:left="577" w:right="124" w:hanging="440"/>
              <w:jc w:val="center"/>
              <w:textAlignment w:val="auto"/>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可受理业务</w:t>
            </w:r>
          </w:p>
        </w:tc>
      </w:tr>
      <w:tr w14:paraId="76E60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2" w:type="dxa"/>
          </w:tcPr>
          <w:p w14:paraId="42285514">
            <w:pPr>
              <w:pStyle w:val="16"/>
              <w:keepNext w:val="0"/>
              <w:keepLines w:val="0"/>
              <w:pageBreakBefore w:val="0"/>
              <w:kinsoku/>
              <w:wordWrap/>
              <w:overflowPunct/>
              <w:topLinePunct w:val="0"/>
              <w:autoSpaceDE/>
              <w:autoSpaceDN/>
              <w:bidi w:val="0"/>
              <w:adjustRightInd/>
              <w:snapToGrid/>
              <w:spacing w:before="56" w:line="540" w:lineRule="atLeast"/>
              <w:ind w:left="577" w:right="124" w:hanging="440"/>
              <w:jc w:val="center"/>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手机银行</w:t>
            </w:r>
          </w:p>
        </w:tc>
        <w:tc>
          <w:tcPr>
            <w:tcW w:w="1512" w:type="dxa"/>
            <w:shd w:val="clear" w:color="auto" w:fill="auto"/>
            <w:vAlign w:val="top"/>
          </w:tcPr>
          <w:p w14:paraId="5078292E">
            <w:pPr>
              <w:pStyle w:val="16"/>
              <w:keepNext w:val="0"/>
              <w:keepLines w:val="0"/>
              <w:pageBreakBefore w:val="0"/>
              <w:kinsoku/>
              <w:wordWrap/>
              <w:overflowPunct/>
              <w:topLinePunct w:val="0"/>
              <w:autoSpaceDE/>
              <w:autoSpaceDN/>
              <w:bidi w:val="0"/>
              <w:adjustRightInd/>
              <w:snapToGrid/>
              <w:spacing w:before="56" w:line="540" w:lineRule="atLeast"/>
              <w:ind w:left="577" w:leftChars="0" w:right="124" w:rightChars="0" w:hanging="440" w:firstLineChars="0"/>
              <w:jc w:val="center"/>
              <w:textAlignment w:val="auto"/>
              <w:rPr>
                <w:rFonts w:hint="default" w:ascii="仿宋" w:hAnsi="仿宋" w:eastAsia="仿宋" w:cs="仿宋"/>
                <w:color w:val="auto"/>
                <w:kern w:val="2"/>
                <w:sz w:val="24"/>
                <w:szCs w:val="24"/>
                <w:highlight w:val="none"/>
                <w:lang w:val="en-US" w:eastAsia="zh-CN" w:bidi="zh-CN"/>
              </w:rPr>
            </w:pPr>
            <w:r>
              <w:rPr>
                <w:rFonts w:hint="eastAsia" w:ascii="仿宋" w:hAnsi="仿宋" w:eastAsia="仿宋" w:cs="仿宋"/>
                <w:color w:val="auto"/>
                <w:sz w:val="24"/>
                <w:szCs w:val="24"/>
                <w:highlight w:val="none"/>
                <w:lang w:val="en-US" w:eastAsia="zh-CN"/>
              </w:rPr>
              <w:t>435611</w:t>
            </w:r>
          </w:p>
        </w:tc>
        <w:tc>
          <w:tcPr>
            <w:tcW w:w="1704" w:type="dxa"/>
            <w:shd w:val="clear" w:color="auto" w:fill="auto"/>
            <w:vAlign w:val="top"/>
          </w:tcPr>
          <w:p w14:paraId="6DFEC737">
            <w:pPr>
              <w:pStyle w:val="16"/>
              <w:keepNext w:val="0"/>
              <w:keepLines w:val="0"/>
              <w:pageBreakBefore w:val="0"/>
              <w:kinsoku/>
              <w:wordWrap/>
              <w:overflowPunct/>
              <w:topLinePunct w:val="0"/>
              <w:autoSpaceDE/>
              <w:autoSpaceDN/>
              <w:bidi w:val="0"/>
              <w:adjustRightInd/>
              <w:snapToGrid/>
              <w:spacing w:before="56" w:line="540" w:lineRule="atLeast"/>
              <w:ind w:left="577" w:leftChars="0" w:right="124" w:rightChars="0" w:hanging="440" w:firstLineChars="0"/>
              <w:jc w:val="center"/>
              <w:textAlignment w:val="auto"/>
              <w:rPr>
                <w:rFonts w:hint="default" w:ascii="仿宋" w:hAnsi="仿宋" w:eastAsia="仿宋" w:cs="仿宋"/>
                <w:color w:val="auto"/>
                <w:kern w:val="2"/>
                <w:sz w:val="24"/>
                <w:szCs w:val="24"/>
                <w:highlight w:val="none"/>
                <w:lang w:val="en-US" w:eastAsia="zh-CN" w:bidi="zh-CN"/>
              </w:rPr>
            </w:pPr>
            <w:r>
              <w:rPr>
                <w:rFonts w:hint="eastAsia" w:ascii="仿宋" w:hAnsi="仿宋" w:eastAsia="仿宋" w:cs="仿宋"/>
                <w:color w:val="auto"/>
                <w:sz w:val="24"/>
                <w:szCs w:val="24"/>
                <w:highlight w:val="none"/>
                <w:lang w:val="en-US" w:eastAsia="zh-CN"/>
              </w:rPr>
              <w:t>101123.09</w:t>
            </w:r>
          </w:p>
        </w:tc>
        <w:tc>
          <w:tcPr>
            <w:tcW w:w="3250" w:type="dxa"/>
          </w:tcPr>
          <w:p w14:paraId="0F65FDF7">
            <w:pPr>
              <w:pStyle w:val="16"/>
              <w:keepNext w:val="0"/>
              <w:keepLines w:val="0"/>
              <w:pageBreakBefore w:val="0"/>
              <w:kinsoku/>
              <w:wordWrap/>
              <w:overflowPunct/>
              <w:topLinePunct w:val="0"/>
              <w:autoSpaceDE/>
              <w:autoSpaceDN/>
              <w:bidi w:val="0"/>
              <w:adjustRightInd/>
              <w:snapToGrid/>
              <w:spacing w:before="56" w:line="540" w:lineRule="atLeast"/>
              <w:ind w:left="577" w:right="124" w:hanging="440"/>
              <w:jc w:val="center"/>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查询、转账支付</w:t>
            </w:r>
          </w:p>
        </w:tc>
      </w:tr>
      <w:tr w14:paraId="209EC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2" w:type="dxa"/>
          </w:tcPr>
          <w:p w14:paraId="265D4910">
            <w:pPr>
              <w:pStyle w:val="16"/>
              <w:keepNext w:val="0"/>
              <w:keepLines w:val="0"/>
              <w:pageBreakBefore w:val="0"/>
              <w:kinsoku/>
              <w:wordWrap/>
              <w:overflowPunct/>
              <w:topLinePunct w:val="0"/>
              <w:autoSpaceDE/>
              <w:autoSpaceDN/>
              <w:bidi w:val="0"/>
              <w:adjustRightInd/>
              <w:snapToGrid/>
              <w:spacing w:before="56" w:line="540" w:lineRule="atLeast"/>
              <w:ind w:left="577" w:right="124" w:hanging="440"/>
              <w:jc w:val="center"/>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网上银行</w:t>
            </w:r>
          </w:p>
        </w:tc>
        <w:tc>
          <w:tcPr>
            <w:tcW w:w="1512" w:type="dxa"/>
            <w:shd w:val="clear" w:color="auto" w:fill="auto"/>
            <w:vAlign w:val="top"/>
          </w:tcPr>
          <w:p w14:paraId="2D0BD9C7">
            <w:pPr>
              <w:pStyle w:val="16"/>
              <w:keepNext w:val="0"/>
              <w:keepLines w:val="0"/>
              <w:pageBreakBefore w:val="0"/>
              <w:kinsoku/>
              <w:wordWrap/>
              <w:overflowPunct/>
              <w:topLinePunct w:val="0"/>
              <w:autoSpaceDE/>
              <w:autoSpaceDN/>
              <w:bidi w:val="0"/>
              <w:adjustRightInd/>
              <w:snapToGrid/>
              <w:spacing w:before="56" w:line="540" w:lineRule="atLeast"/>
              <w:ind w:left="577" w:leftChars="0" w:right="124" w:rightChars="0" w:hanging="440" w:firstLineChars="0"/>
              <w:jc w:val="center"/>
              <w:textAlignment w:val="auto"/>
              <w:rPr>
                <w:rFonts w:hint="default" w:ascii="仿宋" w:hAnsi="仿宋" w:eastAsia="仿宋" w:cs="仿宋"/>
                <w:color w:val="auto"/>
                <w:kern w:val="2"/>
                <w:sz w:val="24"/>
                <w:szCs w:val="24"/>
                <w:highlight w:val="none"/>
                <w:lang w:val="en-US" w:eastAsia="zh-CN" w:bidi="zh-CN"/>
              </w:rPr>
            </w:pPr>
            <w:r>
              <w:rPr>
                <w:rFonts w:hint="eastAsia" w:ascii="仿宋" w:hAnsi="仿宋" w:eastAsia="仿宋" w:cs="仿宋"/>
                <w:color w:val="auto"/>
                <w:sz w:val="24"/>
                <w:szCs w:val="24"/>
                <w:highlight w:val="none"/>
                <w:lang w:val="en-US" w:eastAsia="zh-CN"/>
              </w:rPr>
              <w:t>45780</w:t>
            </w:r>
          </w:p>
        </w:tc>
        <w:tc>
          <w:tcPr>
            <w:tcW w:w="1704" w:type="dxa"/>
            <w:shd w:val="clear" w:color="auto" w:fill="auto"/>
            <w:vAlign w:val="top"/>
          </w:tcPr>
          <w:p w14:paraId="798E0C26">
            <w:pPr>
              <w:pStyle w:val="16"/>
              <w:keepNext w:val="0"/>
              <w:keepLines w:val="0"/>
              <w:pageBreakBefore w:val="0"/>
              <w:kinsoku/>
              <w:wordWrap/>
              <w:overflowPunct/>
              <w:topLinePunct w:val="0"/>
              <w:autoSpaceDE/>
              <w:autoSpaceDN/>
              <w:bidi w:val="0"/>
              <w:adjustRightInd/>
              <w:snapToGrid/>
              <w:spacing w:before="56" w:line="540" w:lineRule="atLeast"/>
              <w:ind w:left="577" w:leftChars="0" w:right="124" w:rightChars="0" w:hanging="440" w:firstLineChars="0"/>
              <w:jc w:val="center"/>
              <w:textAlignment w:val="auto"/>
              <w:rPr>
                <w:rFonts w:hint="default" w:ascii="仿宋" w:hAnsi="仿宋" w:eastAsia="仿宋" w:cs="仿宋"/>
                <w:color w:val="auto"/>
                <w:kern w:val="2"/>
                <w:sz w:val="24"/>
                <w:szCs w:val="24"/>
                <w:highlight w:val="none"/>
                <w:lang w:val="en-US" w:eastAsia="zh-CN" w:bidi="zh-CN"/>
              </w:rPr>
            </w:pPr>
            <w:r>
              <w:rPr>
                <w:rFonts w:hint="eastAsia" w:ascii="仿宋" w:hAnsi="仿宋" w:eastAsia="仿宋" w:cs="仿宋"/>
                <w:color w:val="auto"/>
                <w:sz w:val="24"/>
                <w:szCs w:val="24"/>
                <w:highlight w:val="none"/>
                <w:lang w:val="en-US" w:eastAsia="zh-CN"/>
              </w:rPr>
              <w:t>114356.11</w:t>
            </w:r>
          </w:p>
        </w:tc>
        <w:tc>
          <w:tcPr>
            <w:tcW w:w="3250" w:type="dxa"/>
          </w:tcPr>
          <w:p w14:paraId="60741F7B">
            <w:pPr>
              <w:pStyle w:val="16"/>
              <w:keepNext w:val="0"/>
              <w:keepLines w:val="0"/>
              <w:pageBreakBefore w:val="0"/>
              <w:kinsoku/>
              <w:wordWrap/>
              <w:overflowPunct/>
              <w:topLinePunct w:val="0"/>
              <w:autoSpaceDE/>
              <w:autoSpaceDN/>
              <w:bidi w:val="0"/>
              <w:adjustRightInd/>
              <w:snapToGrid/>
              <w:spacing w:before="56" w:line="540" w:lineRule="atLeast"/>
              <w:ind w:left="577" w:right="124" w:hanging="440"/>
              <w:jc w:val="center"/>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查询、转账支付</w:t>
            </w:r>
          </w:p>
        </w:tc>
      </w:tr>
      <w:tr w14:paraId="5AB5C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2" w:type="dxa"/>
          </w:tcPr>
          <w:p w14:paraId="0FA3AC65">
            <w:pPr>
              <w:pStyle w:val="16"/>
              <w:keepNext w:val="0"/>
              <w:keepLines w:val="0"/>
              <w:pageBreakBefore w:val="0"/>
              <w:kinsoku/>
              <w:wordWrap/>
              <w:overflowPunct/>
              <w:topLinePunct w:val="0"/>
              <w:autoSpaceDE/>
              <w:autoSpaceDN/>
              <w:bidi w:val="0"/>
              <w:adjustRightInd/>
              <w:snapToGrid/>
              <w:spacing w:before="56" w:line="540" w:lineRule="atLeast"/>
              <w:ind w:left="577" w:right="124" w:hanging="440"/>
              <w:jc w:val="center"/>
              <w:textAlignment w:val="auto"/>
              <w:rPr>
                <w:rFonts w:hint="default"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ATM、CDM</w:t>
            </w:r>
          </w:p>
        </w:tc>
        <w:tc>
          <w:tcPr>
            <w:tcW w:w="1512" w:type="dxa"/>
            <w:shd w:val="clear" w:color="auto" w:fill="auto"/>
            <w:vAlign w:val="top"/>
          </w:tcPr>
          <w:p w14:paraId="1F6AB97C">
            <w:pPr>
              <w:pStyle w:val="16"/>
              <w:keepNext w:val="0"/>
              <w:keepLines w:val="0"/>
              <w:pageBreakBefore w:val="0"/>
              <w:kinsoku/>
              <w:wordWrap/>
              <w:overflowPunct/>
              <w:topLinePunct w:val="0"/>
              <w:autoSpaceDE/>
              <w:autoSpaceDN/>
              <w:bidi w:val="0"/>
              <w:adjustRightInd/>
              <w:snapToGrid/>
              <w:spacing w:before="56" w:line="540" w:lineRule="atLeast"/>
              <w:ind w:left="577" w:leftChars="0" w:right="124" w:rightChars="0" w:hanging="440" w:firstLineChars="0"/>
              <w:jc w:val="center"/>
              <w:textAlignment w:val="auto"/>
              <w:rPr>
                <w:rFonts w:hint="default" w:ascii="仿宋" w:hAnsi="仿宋" w:eastAsia="仿宋" w:cs="仿宋"/>
                <w:color w:val="auto"/>
                <w:kern w:val="2"/>
                <w:sz w:val="24"/>
                <w:szCs w:val="24"/>
                <w:highlight w:val="none"/>
                <w:lang w:val="en-US" w:eastAsia="zh-CN" w:bidi="zh-CN"/>
              </w:rPr>
            </w:pPr>
            <w:r>
              <w:rPr>
                <w:rFonts w:hint="eastAsia" w:ascii="仿宋" w:hAnsi="仿宋" w:eastAsia="仿宋" w:cs="仿宋"/>
                <w:color w:val="auto"/>
                <w:sz w:val="24"/>
                <w:szCs w:val="24"/>
                <w:highlight w:val="none"/>
                <w:lang w:val="en-US" w:eastAsia="zh-CN"/>
              </w:rPr>
              <w:t>253786</w:t>
            </w:r>
          </w:p>
        </w:tc>
        <w:tc>
          <w:tcPr>
            <w:tcW w:w="1704" w:type="dxa"/>
            <w:shd w:val="clear" w:color="auto" w:fill="auto"/>
            <w:vAlign w:val="top"/>
          </w:tcPr>
          <w:p w14:paraId="1997C512">
            <w:pPr>
              <w:pStyle w:val="16"/>
              <w:keepNext w:val="0"/>
              <w:keepLines w:val="0"/>
              <w:pageBreakBefore w:val="0"/>
              <w:kinsoku/>
              <w:wordWrap/>
              <w:overflowPunct/>
              <w:topLinePunct w:val="0"/>
              <w:autoSpaceDE/>
              <w:autoSpaceDN/>
              <w:bidi w:val="0"/>
              <w:adjustRightInd/>
              <w:snapToGrid/>
              <w:spacing w:before="56" w:line="540" w:lineRule="atLeast"/>
              <w:ind w:left="577" w:leftChars="0" w:right="124" w:rightChars="0" w:hanging="440" w:firstLineChars="0"/>
              <w:jc w:val="center"/>
              <w:textAlignment w:val="auto"/>
              <w:rPr>
                <w:rFonts w:hint="default" w:ascii="仿宋" w:hAnsi="仿宋" w:eastAsia="仿宋" w:cs="仿宋"/>
                <w:color w:val="auto"/>
                <w:kern w:val="2"/>
                <w:sz w:val="24"/>
                <w:szCs w:val="24"/>
                <w:highlight w:val="none"/>
                <w:lang w:val="en-US" w:eastAsia="zh-CN" w:bidi="zh-CN"/>
              </w:rPr>
            </w:pPr>
            <w:r>
              <w:rPr>
                <w:rFonts w:hint="eastAsia" w:ascii="仿宋" w:hAnsi="仿宋" w:eastAsia="仿宋" w:cs="仿宋"/>
                <w:color w:val="auto"/>
                <w:sz w:val="24"/>
                <w:szCs w:val="24"/>
                <w:highlight w:val="none"/>
                <w:lang w:val="en-US" w:eastAsia="zh-CN"/>
              </w:rPr>
              <w:t>10983.76</w:t>
            </w:r>
          </w:p>
        </w:tc>
        <w:tc>
          <w:tcPr>
            <w:tcW w:w="3250" w:type="dxa"/>
          </w:tcPr>
          <w:p w14:paraId="0FB41BB4">
            <w:pPr>
              <w:pStyle w:val="16"/>
              <w:keepNext w:val="0"/>
              <w:keepLines w:val="0"/>
              <w:pageBreakBefore w:val="0"/>
              <w:kinsoku/>
              <w:wordWrap/>
              <w:overflowPunct/>
              <w:topLinePunct w:val="0"/>
              <w:autoSpaceDE/>
              <w:autoSpaceDN/>
              <w:bidi w:val="0"/>
              <w:adjustRightInd/>
              <w:snapToGrid/>
              <w:spacing w:before="56" w:line="540" w:lineRule="atLeast"/>
              <w:ind w:left="577" w:right="124" w:hanging="440"/>
              <w:jc w:val="center"/>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查询、存款、转账支付</w:t>
            </w:r>
          </w:p>
        </w:tc>
      </w:tr>
    </w:tbl>
    <w:p w14:paraId="65067706">
      <w:pPr>
        <w:pStyle w:val="6"/>
        <w:keepNext w:val="0"/>
        <w:keepLines w:val="0"/>
        <w:pageBreakBefore w:val="0"/>
        <w:kinsoku/>
        <w:wordWrap/>
        <w:overflowPunct/>
        <w:topLinePunct w:val="0"/>
        <w:autoSpaceDE/>
        <w:autoSpaceDN/>
        <w:bidi w:val="0"/>
        <w:adjustRightInd/>
        <w:snapToGrid/>
        <w:spacing w:line="600" w:lineRule="exact"/>
        <w:ind w:firstLine="675" w:firstLineChars="200"/>
        <w:textAlignment w:val="auto"/>
        <w:rPr>
          <w:rStyle w:val="15"/>
          <w:rFonts w:hint="eastAsia" w:ascii="仿宋" w:hAnsi="仿宋" w:eastAsia="仿宋" w:cs="仿宋"/>
          <w:b/>
          <w:bCs/>
          <w:i w:val="0"/>
          <w:iCs w:val="0"/>
          <w:caps w:val="0"/>
          <w:color w:val="000000"/>
          <w:spacing w:val="8"/>
          <w:sz w:val="32"/>
          <w:szCs w:val="32"/>
          <w:highlight w:val="none"/>
          <w:shd w:val="clear" w:fill="FFFFFF"/>
        </w:rPr>
      </w:pPr>
      <w:r>
        <w:rPr>
          <w:rStyle w:val="15"/>
          <w:rFonts w:hint="eastAsia" w:ascii="仿宋" w:hAnsi="仿宋" w:eastAsia="仿宋" w:cs="仿宋"/>
          <w:b/>
          <w:bCs/>
          <w:i w:val="0"/>
          <w:iCs w:val="0"/>
          <w:caps w:val="0"/>
          <w:color w:val="000000"/>
          <w:spacing w:val="8"/>
          <w:sz w:val="32"/>
          <w:szCs w:val="32"/>
          <w:highlight w:val="none"/>
          <w:shd w:val="clear" w:fill="FFFFFF"/>
        </w:rPr>
        <w:t>（一）树立绿色银行形象，落实可持续发展理念</w:t>
      </w:r>
    </w:p>
    <w:p w14:paraId="094DC397">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00" w:lineRule="exact"/>
        <w:ind w:right="0" w:firstLine="640" w:firstLineChars="200"/>
        <w:jc w:val="both"/>
        <w:textAlignment w:val="auto"/>
        <w:rPr>
          <w:rFonts w:hint="eastAsia" w:ascii="仿宋" w:hAnsi="仿宋" w:eastAsia="仿宋" w:cs="仿宋"/>
          <w:b w:val="0"/>
          <w:bCs w:val="0"/>
          <w:sz w:val="32"/>
          <w:szCs w:val="32"/>
          <w:highlight w:val="none"/>
          <w:lang w:eastAsia="zh-CN"/>
        </w:rPr>
      </w:pPr>
      <w:r>
        <w:rPr>
          <w:rFonts w:hint="eastAsia" w:ascii="仿宋" w:hAnsi="仿宋" w:eastAsia="仿宋" w:cs="仿宋"/>
          <w:b w:val="0"/>
          <w:bCs w:val="0"/>
          <w:sz w:val="32"/>
          <w:szCs w:val="32"/>
          <w:highlight w:val="none"/>
          <w:lang w:eastAsia="zh-CN"/>
        </w:rPr>
        <w:t>一是将绿色发展理念深植企业经营管理。提升日常工作中的绿色环保意识，践行绿色金融理念，深入开展绿色信贷业务。强化环境和社会风险管理并形成绿色经营文化。推广倡导绿色生产、绿色消费、绿色生活方式。二是将生态环保意识深入员工心中。做绿色办公的先行者、绿色生活的倡导者、绿色金融的实践者。</w:t>
      </w:r>
    </w:p>
    <w:p w14:paraId="558725CE">
      <w:pPr>
        <w:keepNext w:val="0"/>
        <w:keepLines w:val="0"/>
        <w:pageBreakBefore w:val="0"/>
        <w:kinsoku/>
        <w:wordWrap/>
        <w:overflowPunct/>
        <w:topLinePunct w:val="0"/>
        <w:autoSpaceDE/>
        <w:autoSpaceDN/>
        <w:bidi w:val="0"/>
        <w:adjustRightInd/>
        <w:snapToGrid/>
        <w:spacing w:line="600" w:lineRule="exact"/>
        <w:textAlignment w:val="auto"/>
        <w:rPr>
          <w:rStyle w:val="15"/>
          <w:rFonts w:hint="eastAsia" w:ascii="仿宋" w:hAnsi="仿宋" w:eastAsia="仿宋" w:cs="仿宋"/>
          <w:i w:val="0"/>
          <w:iCs w:val="0"/>
          <w:caps w:val="0"/>
          <w:color w:val="000000"/>
          <w:spacing w:val="8"/>
          <w:sz w:val="32"/>
          <w:szCs w:val="32"/>
          <w:highlight w:val="none"/>
          <w:shd w:val="clear" w:fill="FFFFFF"/>
        </w:rPr>
      </w:pPr>
      <w:r>
        <w:rPr>
          <w:rFonts w:hint="eastAsia" w:ascii="仿宋" w:hAnsi="仿宋" w:eastAsia="仿宋" w:cs="仿宋"/>
          <w:b w:val="0"/>
          <w:bCs w:val="0"/>
          <w:i w:val="0"/>
          <w:iCs w:val="0"/>
          <w:caps w:val="0"/>
          <w:color w:val="000000"/>
          <w:spacing w:val="8"/>
          <w:sz w:val="32"/>
          <w:szCs w:val="32"/>
          <w:highlight w:val="none"/>
          <w:shd w:val="clear" w:fill="FFFFFF"/>
        </w:rPr>
        <w:t xml:space="preserve">  </w:t>
      </w:r>
      <w:r>
        <w:rPr>
          <w:rFonts w:hint="eastAsia" w:ascii="仿宋" w:hAnsi="仿宋" w:eastAsia="仿宋" w:cs="仿宋"/>
          <w:b w:val="0"/>
          <w:bCs w:val="0"/>
          <w:i w:val="0"/>
          <w:iCs w:val="0"/>
          <w:caps w:val="0"/>
          <w:color w:val="000000"/>
          <w:spacing w:val="8"/>
          <w:sz w:val="32"/>
          <w:szCs w:val="32"/>
          <w:highlight w:val="none"/>
          <w:shd w:val="clear" w:fill="FFFFFF"/>
          <w:lang w:val="en-US" w:eastAsia="zh-CN"/>
        </w:rPr>
        <w:t xml:space="preserve">  </w:t>
      </w:r>
      <w:r>
        <w:rPr>
          <w:rFonts w:hint="eastAsia" w:ascii="仿宋" w:hAnsi="仿宋" w:eastAsia="仿宋" w:cs="仿宋"/>
          <w:b w:val="0"/>
          <w:bCs w:val="0"/>
          <w:i w:val="0"/>
          <w:iCs w:val="0"/>
          <w:caps w:val="0"/>
          <w:color w:val="000000"/>
          <w:spacing w:val="8"/>
          <w:sz w:val="32"/>
          <w:szCs w:val="32"/>
          <w:highlight w:val="none"/>
          <w:shd w:val="clear" w:fill="FFFFFF"/>
        </w:rPr>
        <w:t> </w:t>
      </w:r>
      <w:r>
        <w:rPr>
          <w:rStyle w:val="15"/>
          <w:rFonts w:hint="eastAsia" w:ascii="仿宋" w:hAnsi="仿宋" w:eastAsia="仿宋" w:cs="仿宋"/>
          <w:b/>
          <w:bCs/>
          <w:i w:val="0"/>
          <w:iCs w:val="0"/>
          <w:caps w:val="0"/>
          <w:color w:val="000000"/>
          <w:spacing w:val="8"/>
          <w:sz w:val="32"/>
          <w:szCs w:val="32"/>
          <w:highlight w:val="none"/>
          <w:shd w:val="clear" w:fill="FFFFFF"/>
        </w:rPr>
        <w:t>（</w:t>
      </w:r>
      <w:r>
        <w:rPr>
          <w:rStyle w:val="15"/>
          <w:rFonts w:hint="eastAsia" w:ascii="仿宋" w:hAnsi="仿宋" w:eastAsia="仿宋" w:cs="仿宋"/>
          <w:b/>
          <w:bCs/>
          <w:i w:val="0"/>
          <w:iCs w:val="0"/>
          <w:caps w:val="0"/>
          <w:color w:val="000000"/>
          <w:spacing w:val="8"/>
          <w:sz w:val="32"/>
          <w:szCs w:val="32"/>
          <w:highlight w:val="none"/>
          <w:shd w:val="clear" w:fill="FFFFFF"/>
          <w:lang w:eastAsia="zh-CN"/>
        </w:rPr>
        <w:t>二</w:t>
      </w:r>
      <w:r>
        <w:rPr>
          <w:rStyle w:val="15"/>
          <w:rFonts w:hint="eastAsia" w:ascii="仿宋" w:hAnsi="仿宋" w:eastAsia="仿宋" w:cs="仿宋"/>
          <w:b/>
          <w:bCs/>
          <w:i w:val="0"/>
          <w:iCs w:val="0"/>
          <w:caps w:val="0"/>
          <w:color w:val="000000"/>
          <w:spacing w:val="8"/>
          <w:sz w:val="32"/>
          <w:szCs w:val="32"/>
          <w:highlight w:val="none"/>
          <w:shd w:val="clear" w:fill="FFFFFF"/>
        </w:rPr>
        <w:t>）</w:t>
      </w:r>
      <w:r>
        <w:rPr>
          <w:rStyle w:val="15"/>
          <w:rFonts w:hint="eastAsia" w:ascii="仿宋" w:hAnsi="仿宋" w:eastAsia="仿宋" w:cs="仿宋"/>
          <w:i w:val="0"/>
          <w:iCs w:val="0"/>
          <w:caps w:val="0"/>
          <w:color w:val="000000"/>
          <w:spacing w:val="8"/>
          <w:sz w:val="32"/>
          <w:szCs w:val="32"/>
          <w:highlight w:val="none"/>
          <w:shd w:val="clear" w:fill="FFFFFF"/>
        </w:rPr>
        <w:t>创新产品与服务</w:t>
      </w:r>
    </w:p>
    <w:p w14:paraId="6A11FEDA">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00" w:lineRule="exact"/>
        <w:ind w:left="0" w:right="0" w:firstLine="0"/>
        <w:jc w:val="both"/>
        <w:textAlignment w:val="auto"/>
        <w:rPr>
          <w:rFonts w:hint="eastAsia" w:ascii="仿宋" w:hAnsi="仿宋" w:eastAsia="仿宋" w:cs="仿宋"/>
          <w:b w:val="0"/>
          <w:bCs w:val="0"/>
          <w:sz w:val="32"/>
          <w:szCs w:val="32"/>
          <w:highlight w:val="none"/>
          <w:lang w:val="en-US" w:eastAsia="zh-CN"/>
        </w:rPr>
      </w:pPr>
      <w:r>
        <w:rPr>
          <w:rFonts w:hint="eastAsia" w:ascii="仿宋" w:hAnsi="仿宋" w:eastAsia="仿宋" w:cs="仿宋"/>
          <w:b w:val="0"/>
          <w:bCs w:val="0"/>
          <w:sz w:val="32"/>
          <w:szCs w:val="32"/>
          <w:highlight w:val="none"/>
          <w:lang w:val="en-US" w:eastAsia="zh-CN"/>
        </w:rPr>
        <w:t xml:space="preserve">   一是开展一站式绿色金融服务：设立绿色金融服务专柜，配备专业的绿色信贷经理。从贷款咨询、项目评估、手续办理到贷后管理，为客户提供全程一对一服务。针对从事生态循环农业的农户与企业，比如开展“种—养—加”一体化生态模式的主体。贷款额度依据其经营规模、循环体系成熟度评估，范围在5-100万元。还款方式灵活，可按农产品收获周期制定阶段性还款计划，适应农业生产节奏同时，整合银行内部资源。</w:t>
      </w:r>
    </w:p>
    <w:p w14:paraId="43DF9637">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eastAsia" w:ascii="仿宋" w:hAnsi="仿宋" w:eastAsia="仿宋" w:cs="仿宋"/>
          <w:b w:val="0"/>
          <w:bCs w:val="0"/>
          <w:sz w:val="32"/>
          <w:szCs w:val="32"/>
          <w:highlight w:val="none"/>
          <w:lang w:val="en-US" w:eastAsia="zh-CN"/>
        </w:rPr>
      </w:pPr>
      <w:r>
        <w:rPr>
          <w:rFonts w:hint="eastAsia" w:ascii="仿宋" w:hAnsi="仿宋" w:eastAsia="仿宋" w:cs="仿宋"/>
          <w:b w:val="0"/>
          <w:bCs w:val="0"/>
          <w:sz w:val="32"/>
          <w:szCs w:val="32"/>
          <w:highlight w:val="none"/>
          <w:lang w:val="en-US" w:eastAsia="zh-CN"/>
        </w:rPr>
        <w:t>二是开通绿色贷款快速通道：对于符合绿色贷款标准的项目，简化审批流程。建立绿色贷款优先审批机制，在资料齐全的情况下，确保贷款审批时间缩短至3个工作日，提高资金投放效率，满足绿色项目的时效性需求。</w:t>
      </w:r>
    </w:p>
    <w:p w14:paraId="3C34D8E5">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eastAsia" w:ascii="仿宋" w:hAnsi="仿宋" w:eastAsia="仿宋" w:cs="仿宋"/>
          <w:b w:val="0"/>
          <w:bCs w:val="0"/>
          <w:sz w:val="32"/>
          <w:szCs w:val="32"/>
          <w:highlight w:val="none"/>
          <w:lang w:val="en-US" w:eastAsia="zh-CN"/>
        </w:rPr>
      </w:pPr>
      <w:r>
        <w:rPr>
          <w:rFonts w:hint="eastAsia" w:ascii="仿宋" w:hAnsi="仿宋" w:eastAsia="仿宋" w:cs="仿宋"/>
          <w:b w:val="0"/>
          <w:bCs w:val="0"/>
          <w:sz w:val="32"/>
          <w:szCs w:val="32"/>
          <w:highlight w:val="none"/>
          <w:lang w:val="en-US" w:eastAsia="zh-CN"/>
        </w:rPr>
        <w:t xml:space="preserve">三是积极普及绿色金融知识：定期组织绿色金融知识下乡活动，通过举办讲座、发放宣传资料、实地案例讲解等形式，向农户、农村企业普及绿色金融理念、绿色贷款政策和产品知识，提升农村地区对绿色金融的认知度和参与度。 </w:t>
      </w:r>
    </w:p>
    <w:p w14:paraId="0CEBB904">
      <w:pPr>
        <w:keepNext w:val="0"/>
        <w:keepLines w:val="0"/>
        <w:pageBreakBefore w:val="0"/>
        <w:kinsoku/>
        <w:wordWrap/>
        <w:overflowPunct/>
        <w:topLinePunct w:val="0"/>
        <w:autoSpaceDE/>
        <w:autoSpaceDN/>
        <w:bidi w:val="0"/>
        <w:adjustRightInd/>
        <w:snapToGrid/>
        <w:spacing w:line="600" w:lineRule="exact"/>
        <w:textAlignment w:val="auto"/>
        <w:rPr>
          <w:rFonts w:hint="eastAsia" w:ascii="仿宋" w:hAnsi="仿宋" w:eastAsia="仿宋" w:cs="仿宋"/>
          <w:b/>
          <w:bCs/>
          <w:sz w:val="32"/>
          <w:szCs w:val="32"/>
          <w:highlight w:val="none"/>
          <w:lang w:val="en-US" w:eastAsia="zh-CN"/>
        </w:rPr>
      </w:pPr>
      <w:r>
        <w:rPr>
          <w:rFonts w:hint="eastAsia" w:ascii="仿宋" w:hAnsi="仿宋" w:eastAsia="仿宋" w:cs="仿宋"/>
          <w:b w:val="0"/>
          <w:bCs w:val="0"/>
          <w:sz w:val="32"/>
          <w:szCs w:val="32"/>
          <w:highlight w:val="none"/>
          <w:lang w:val="en-US" w:eastAsia="zh-CN"/>
        </w:rPr>
        <w:t xml:space="preserve">    </w:t>
      </w:r>
      <w:r>
        <w:rPr>
          <w:rFonts w:hint="eastAsia" w:ascii="仿宋" w:hAnsi="仿宋" w:eastAsia="仿宋" w:cs="仿宋"/>
          <w:b/>
          <w:bCs/>
          <w:sz w:val="32"/>
          <w:szCs w:val="32"/>
          <w:highlight w:val="none"/>
          <w:lang w:val="en-US" w:eastAsia="zh-CN"/>
        </w:rPr>
        <w:t>十二、绿色金融宣传情况</w:t>
      </w:r>
    </w:p>
    <w:p w14:paraId="1CD3C63D">
      <w:pPr>
        <w:keepNext w:val="0"/>
        <w:keepLines w:val="0"/>
        <w:pageBreakBefore w:val="0"/>
        <w:widowControl/>
        <w:shd w:val="clear" w:color="auto" w:fill="FFFFFF"/>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bCs/>
          <w:color w:val="000000"/>
          <w:sz w:val="32"/>
          <w:szCs w:val="32"/>
          <w:highlight w:val="none"/>
          <w:lang w:eastAsia="zh-CN"/>
        </w:rPr>
      </w:pPr>
      <w:r>
        <w:rPr>
          <w:rFonts w:hint="eastAsia" w:ascii="仿宋" w:hAnsi="仿宋" w:eastAsia="仿宋" w:cs="仿宋"/>
          <w:bCs/>
          <w:color w:val="000000"/>
          <w:sz w:val="32"/>
          <w:szCs w:val="32"/>
          <w:highlight w:val="none"/>
          <w:lang w:eastAsia="zh-CN"/>
        </w:rPr>
        <w:t>本行</w:t>
      </w:r>
      <w:r>
        <w:rPr>
          <w:rFonts w:hint="eastAsia" w:ascii="仿宋" w:hAnsi="仿宋" w:eastAsia="仿宋" w:cs="仿宋"/>
          <w:bCs/>
          <w:color w:val="000000"/>
          <w:sz w:val="32"/>
          <w:szCs w:val="32"/>
          <w:highlight w:val="none"/>
        </w:rPr>
        <w:t>借助多种业务宣传渠道：一是</w:t>
      </w:r>
      <w:r>
        <w:rPr>
          <w:rFonts w:hint="eastAsia" w:ascii="仿宋" w:hAnsi="仿宋" w:eastAsia="仿宋" w:cs="仿宋"/>
          <w:bCs/>
          <w:color w:val="000000"/>
          <w:sz w:val="32"/>
          <w:szCs w:val="32"/>
          <w:highlight w:val="none"/>
          <w:lang w:eastAsia="zh-CN"/>
        </w:rPr>
        <w:t>本行</w:t>
      </w:r>
      <w:r>
        <w:rPr>
          <w:rFonts w:hint="eastAsia" w:ascii="仿宋" w:hAnsi="仿宋" w:eastAsia="仿宋" w:cs="仿宋"/>
          <w:bCs/>
          <w:color w:val="000000"/>
          <w:sz w:val="32"/>
          <w:szCs w:val="32"/>
          <w:highlight w:val="none"/>
        </w:rPr>
        <w:t>通过LE</w:t>
      </w:r>
      <w:r>
        <w:rPr>
          <w:rFonts w:hint="eastAsia" w:ascii="仿宋" w:hAnsi="仿宋" w:eastAsia="仿宋" w:cs="仿宋"/>
          <w:bCs/>
          <w:color w:val="000000"/>
          <w:sz w:val="32"/>
          <w:szCs w:val="32"/>
          <w:highlight w:val="none"/>
          <w:lang w:val="en-US" w:eastAsia="zh-CN"/>
        </w:rPr>
        <w:t>D</w:t>
      </w:r>
      <w:r>
        <w:rPr>
          <w:rFonts w:hint="eastAsia" w:ascii="仿宋" w:hAnsi="仿宋" w:eastAsia="仿宋" w:cs="仿宋"/>
          <w:bCs/>
          <w:color w:val="000000"/>
          <w:sz w:val="32"/>
          <w:szCs w:val="32"/>
          <w:highlight w:val="none"/>
        </w:rPr>
        <w:t>电子屏滚动播放宣传标语，由各网点指派业务经验丰富、沟通能力强的业务骨干担任“绿色宣传员”，积极主动地为前来网点办业务的客户发放宣传折页，普及绿色金融知识。</w:t>
      </w:r>
    </w:p>
    <w:p w14:paraId="0AE102DE">
      <w:pPr>
        <w:keepNext w:val="0"/>
        <w:keepLines w:val="0"/>
        <w:pageBreakBefore w:val="0"/>
        <w:widowControl/>
        <w:shd w:val="clear" w:color="auto" w:fill="FFFFFF"/>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bCs/>
          <w:color w:val="000000"/>
          <w:sz w:val="32"/>
          <w:szCs w:val="32"/>
          <w:highlight w:val="none"/>
          <w:lang w:val="en-US" w:eastAsia="zh-CN"/>
        </w:rPr>
      </w:pPr>
      <w:r>
        <w:rPr>
          <w:rFonts w:hint="eastAsia" w:ascii="仿宋" w:hAnsi="仿宋" w:eastAsia="仿宋" w:cs="仿宋"/>
          <w:bCs/>
          <w:color w:val="000000"/>
          <w:sz w:val="32"/>
          <w:szCs w:val="32"/>
          <w:highlight w:val="none"/>
          <w:lang w:val="en-US" w:eastAsia="zh-CN"/>
        </w:rPr>
        <w:t>二是本行宣传人员通过走访商户、企业了解其经营发展现状及需求，为他们的金融问题排忧解难，着力解决其信贷需求，不断提升服务效能，并全方位、多形式介绍绿色金融政策，引导人们践行绿色低碳生活方式，为桂阳县绿色金融发展发挥积极作用。</w:t>
      </w:r>
    </w:p>
    <w:p w14:paraId="25474AFA">
      <w:pPr>
        <w:keepNext w:val="0"/>
        <w:keepLines w:val="0"/>
        <w:pageBreakBefore w:val="0"/>
        <w:widowControl/>
        <w:shd w:val="clear" w:color="auto" w:fill="FFFFFF"/>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bCs/>
          <w:color w:val="000000"/>
          <w:sz w:val="32"/>
          <w:szCs w:val="32"/>
          <w:highlight w:val="none"/>
        </w:rPr>
      </w:pPr>
      <w:r>
        <w:rPr>
          <w:rFonts w:hint="eastAsia" w:ascii="仿宋" w:hAnsi="仿宋" w:eastAsia="仿宋" w:cs="仿宋"/>
          <w:bCs/>
          <w:color w:val="000000"/>
          <w:sz w:val="32"/>
          <w:szCs w:val="32"/>
          <w:highlight w:val="none"/>
          <w:lang w:val="en-US" w:eastAsia="zh-CN"/>
        </w:rPr>
        <w:t>三是</w:t>
      </w:r>
      <w:r>
        <w:rPr>
          <w:rFonts w:hint="eastAsia" w:ascii="仿宋" w:hAnsi="仿宋" w:eastAsia="仿宋" w:cs="仿宋"/>
          <w:bCs/>
          <w:color w:val="000000"/>
          <w:sz w:val="32"/>
          <w:szCs w:val="32"/>
          <w:highlight w:val="none"/>
          <w:lang w:eastAsia="zh-CN"/>
        </w:rPr>
        <w:t>本行</w:t>
      </w:r>
      <w:r>
        <w:rPr>
          <w:rFonts w:hint="eastAsia" w:ascii="仿宋" w:hAnsi="仿宋" w:eastAsia="仿宋" w:cs="仿宋"/>
          <w:bCs/>
          <w:color w:val="000000"/>
          <w:sz w:val="32"/>
          <w:szCs w:val="32"/>
          <w:highlight w:val="none"/>
        </w:rPr>
        <w:t>根据当地社会与客户特点，开展“金融知识下乡”“</w:t>
      </w:r>
      <w:r>
        <w:rPr>
          <w:rFonts w:hint="eastAsia" w:ascii="仿宋" w:hAnsi="仿宋" w:eastAsia="仿宋" w:cs="仿宋"/>
          <w:bCs/>
          <w:color w:val="000000"/>
          <w:sz w:val="32"/>
          <w:szCs w:val="32"/>
          <w:highlight w:val="none"/>
          <w:lang w:eastAsia="zh-CN"/>
        </w:rPr>
        <w:t>普惠金融银企座谈会</w:t>
      </w:r>
      <w:r>
        <w:rPr>
          <w:rFonts w:hint="eastAsia" w:ascii="仿宋" w:hAnsi="仿宋" w:eastAsia="仿宋" w:cs="仿宋"/>
          <w:bCs/>
          <w:color w:val="000000"/>
          <w:sz w:val="32"/>
          <w:szCs w:val="32"/>
          <w:highlight w:val="none"/>
        </w:rPr>
        <w:t>”等多种</w:t>
      </w:r>
      <w:r>
        <w:rPr>
          <w:rFonts w:hint="eastAsia" w:ascii="仿宋" w:hAnsi="仿宋" w:eastAsia="仿宋" w:cs="仿宋"/>
          <w:bCs/>
          <w:color w:val="000000"/>
          <w:sz w:val="32"/>
          <w:szCs w:val="32"/>
          <w:highlight w:val="none"/>
          <w:lang w:eastAsia="zh-CN"/>
        </w:rPr>
        <w:t>绿色</w:t>
      </w:r>
      <w:r>
        <w:rPr>
          <w:rFonts w:hint="eastAsia" w:ascii="仿宋" w:hAnsi="仿宋" w:eastAsia="仿宋" w:cs="仿宋"/>
          <w:bCs/>
          <w:color w:val="000000"/>
          <w:sz w:val="32"/>
          <w:szCs w:val="32"/>
          <w:highlight w:val="none"/>
        </w:rPr>
        <w:t>宣传活动，通过系列措施向广大客户普及</w:t>
      </w:r>
      <w:r>
        <w:rPr>
          <w:rFonts w:hint="eastAsia" w:ascii="仿宋" w:hAnsi="仿宋" w:eastAsia="仿宋" w:cs="仿宋"/>
          <w:bCs/>
          <w:color w:val="000000"/>
          <w:sz w:val="32"/>
          <w:szCs w:val="32"/>
          <w:highlight w:val="none"/>
          <w:lang w:eastAsia="zh-CN"/>
        </w:rPr>
        <w:t>绿色</w:t>
      </w:r>
      <w:r>
        <w:rPr>
          <w:rFonts w:hint="eastAsia" w:ascii="仿宋" w:hAnsi="仿宋" w:eastAsia="仿宋" w:cs="仿宋"/>
          <w:bCs/>
          <w:color w:val="000000"/>
          <w:sz w:val="32"/>
          <w:szCs w:val="32"/>
          <w:highlight w:val="none"/>
        </w:rPr>
        <w:t>金融</w:t>
      </w:r>
      <w:r>
        <w:rPr>
          <w:rFonts w:hint="eastAsia" w:ascii="仿宋" w:hAnsi="仿宋" w:eastAsia="仿宋" w:cs="仿宋"/>
          <w:bCs/>
          <w:color w:val="000000"/>
          <w:sz w:val="32"/>
          <w:szCs w:val="32"/>
          <w:highlight w:val="none"/>
          <w:lang w:val="en-US" w:eastAsia="zh-CN"/>
        </w:rPr>
        <w:t>知识，介绍“玉竹贷”“光伏贷”等绿色信贷产品</w:t>
      </w:r>
      <w:r>
        <w:rPr>
          <w:rFonts w:hint="eastAsia" w:ascii="仿宋" w:hAnsi="仿宋" w:eastAsia="仿宋" w:cs="仿宋"/>
          <w:bCs/>
          <w:color w:val="000000"/>
          <w:sz w:val="32"/>
          <w:szCs w:val="32"/>
          <w:highlight w:val="none"/>
        </w:rPr>
        <w:t>。</w:t>
      </w:r>
      <w:r>
        <w:rPr>
          <w:rFonts w:hint="eastAsia" w:ascii="仿宋" w:hAnsi="仿宋" w:eastAsia="仿宋" w:cs="仿宋"/>
          <w:bCs/>
          <w:color w:val="000000"/>
          <w:sz w:val="32"/>
          <w:szCs w:val="32"/>
          <w:highlight w:val="none"/>
          <w:lang w:eastAsia="zh-CN"/>
        </w:rPr>
        <w:t>202</w:t>
      </w:r>
      <w:r>
        <w:rPr>
          <w:rFonts w:hint="eastAsia" w:ascii="仿宋" w:hAnsi="仿宋" w:eastAsia="仿宋" w:cs="仿宋"/>
          <w:bCs/>
          <w:color w:val="000000"/>
          <w:sz w:val="32"/>
          <w:szCs w:val="32"/>
          <w:highlight w:val="none"/>
          <w:lang w:val="en-US" w:eastAsia="zh-CN"/>
        </w:rPr>
        <w:t>5</w:t>
      </w:r>
      <w:r>
        <w:rPr>
          <w:rFonts w:hint="eastAsia" w:ascii="仿宋" w:hAnsi="仿宋" w:eastAsia="仿宋" w:cs="仿宋"/>
          <w:bCs/>
          <w:color w:val="000000"/>
          <w:sz w:val="32"/>
          <w:szCs w:val="32"/>
          <w:highlight w:val="none"/>
        </w:rPr>
        <w:t>年共开展</w:t>
      </w:r>
      <w:r>
        <w:rPr>
          <w:rFonts w:hint="eastAsia" w:ascii="仿宋" w:hAnsi="仿宋" w:eastAsia="仿宋" w:cs="仿宋"/>
          <w:bCs/>
          <w:color w:val="000000"/>
          <w:sz w:val="32"/>
          <w:szCs w:val="32"/>
          <w:highlight w:val="none"/>
          <w:lang w:eastAsia="zh-CN"/>
        </w:rPr>
        <w:t>绿色</w:t>
      </w:r>
      <w:r>
        <w:rPr>
          <w:rFonts w:hint="eastAsia" w:ascii="仿宋" w:hAnsi="仿宋" w:eastAsia="仿宋" w:cs="仿宋"/>
          <w:bCs/>
          <w:color w:val="000000"/>
          <w:sz w:val="32"/>
          <w:szCs w:val="32"/>
          <w:highlight w:val="none"/>
        </w:rPr>
        <w:t>金融宣传活动</w:t>
      </w:r>
      <w:r>
        <w:rPr>
          <w:rFonts w:hint="eastAsia" w:ascii="仿宋" w:hAnsi="仿宋" w:eastAsia="仿宋" w:cs="仿宋"/>
          <w:bCs/>
          <w:color w:val="000000"/>
          <w:sz w:val="32"/>
          <w:szCs w:val="32"/>
          <w:highlight w:val="none"/>
          <w:lang w:val="en-US" w:eastAsia="zh-CN"/>
        </w:rPr>
        <w:t>50</w:t>
      </w:r>
      <w:r>
        <w:rPr>
          <w:rFonts w:hint="eastAsia" w:ascii="仿宋" w:hAnsi="仿宋" w:eastAsia="仿宋" w:cs="仿宋"/>
          <w:bCs/>
          <w:color w:val="000000"/>
          <w:sz w:val="32"/>
          <w:szCs w:val="32"/>
          <w:highlight w:val="none"/>
        </w:rPr>
        <w:t>余次，宣传受众面达</w:t>
      </w:r>
      <w:r>
        <w:rPr>
          <w:rFonts w:hint="eastAsia" w:ascii="仿宋" w:hAnsi="仿宋" w:eastAsia="仿宋" w:cs="仿宋"/>
          <w:bCs/>
          <w:color w:val="000000"/>
          <w:sz w:val="32"/>
          <w:szCs w:val="32"/>
          <w:highlight w:val="none"/>
          <w:lang w:val="en-US" w:eastAsia="zh-CN"/>
        </w:rPr>
        <w:t>7000</w:t>
      </w:r>
      <w:r>
        <w:rPr>
          <w:rFonts w:hint="eastAsia" w:ascii="仿宋" w:hAnsi="仿宋" w:eastAsia="仿宋" w:cs="仿宋"/>
          <w:bCs/>
          <w:color w:val="000000"/>
          <w:sz w:val="32"/>
          <w:szCs w:val="32"/>
          <w:highlight w:val="none"/>
        </w:rPr>
        <w:t>余人</w:t>
      </w:r>
      <w:r>
        <w:rPr>
          <w:rFonts w:hint="eastAsia" w:ascii="仿宋" w:hAnsi="仿宋" w:eastAsia="仿宋" w:cs="仿宋"/>
          <w:bCs/>
          <w:color w:val="000000"/>
          <w:sz w:val="32"/>
          <w:szCs w:val="32"/>
          <w:highlight w:val="none"/>
          <w:lang w:eastAsia="zh-CN"/>
        </w:rPr>
        <w:t>，</w:t>
      </w:r>
      <w:r>
        <w:rPr>
          <w:rFonts w:hint="eastAsia" w:ascii="仿宋" w:hAnsi="仿宋" w:eastAsia="仿宋" w:cs="仿宋"/>
          <w:sz w:val="32"/>
          <w:szCs w:val="32"/>
          <w:highlight w:val="none"/>
        </w:rPr>
        <w:t>有力</w:t>
      </w:r>
      <w:r>
        <w:rPr>
          <w:rFonts w:hint="eastAsia" w:ascii="仿宋" w:hAnsi="仿宋" w:eastAsia="仿宋" w:cs="仿宋"/>
          <w:bCs/>
          <w:color w:val="000000"/>
          <w:sz w:val="32"/>
          <w:szCs w:val="32"/>
          <w:highlight w:val="none"/>
        </w:rPr>
        <w:t>提升了</w:t>
      </w:r>
      <w:r>
        <w:rPr>
          <w:rFonts w:hint="eastAsia" w:ascii="仿宋" w:hAnsi="仿宋" w:eastAsia="仿宋" w:cs="仿宋"/>
          <w:bCs/>
          <w:color w:val="000000"/>
          <w:sz w:val="32"/>
          <w:szCs w:val="32"/>
          <w:highlight w:val="none"/>
          <w:lang w:eastAsia="zh-CN"/>
        </w:rPr>
        <w:t>本行</w:t>
      </w:r>
      <w:r>
        <w:rPr>
          <w:rFonts w:hint="eastAsia" w:ascii="仿宋" w:hAnsi="仿宋" w:eastAsia="仿宋" w:cs="仿宋"/>
          <w:bCs/>
          <w:color w:val="000000"/>
          <w:sz w:val="32"/>
          <w:szCs w:val="32"/>
          <w:highlight w:val="none"/>
        </w:rPr>
        <w:t>的社会影响力。</w:t>
      </w:r>
    </w:p>
    <w:p w14:paraId="57059E68">
      <w:pPr>
        <w:keepNext w:val="0"/>
        <w:keepLines w:val="0"/>
        <w:pageBreakBefore w:val="0"/>
        <w:widowControl/>
        <w:shd w:val="clear" w:color="auto" w:fill="FFFFFF"/>
        <w:kinsoku/>
        <w:wordWrap/>
        <w:overflowPunct/>
        <w:topLinePunct w:val="0"/>
        <w:autoSpaceDE/>
        <w:autoSpaceDN/>
        <w:bidi w:val="0"/>
        <w:adjustRightInd/>
        <w:snapToGrid/>
        <w:spacing w:line="240" w:lineRule="atLeast"/>
        <w:jc w:val="both"/>
        <w:textAlignment w:val="auto"/>
        <w:rPr>
          <w:rFonts w:hint="eastAsia" w:ascii="仿宋" w:hAnsi="仿宋" w:eastAsia="仿宋" w:cs="仿宋"/>
          <w:bCs/>
          <w:color w:val="000000"/>
          <w:sz w:val="32"/>
          <w:szCs w:val="32"/>
          <w:highlight w:val="none"/>
          <w:lang w:val="en-US" w:eastAsia="zh-CN"/>
        </w:rPr>
      </w:pPr>
      <w:r>
        <w:rPr>
          <w:rFonts w:hint="eastAsia" w:ascii="仿宋" w:hAnsi="仿宋" w:eastAsia="仿宋" w:cs="仿宋"/>
          <w:bCs/>
          <w:color w:val="000000"/>
          <w:sz w:val="32"/>
          <w:szCs w:val="32"/>
          <w:highlight w:val="none"/>
          <w:lang w:val="en-US" w:eastAsia="zh-CN"/>
        </w:rPr>
        <w:t xml:space="preserve">       </w:t>
      </w:r>
      <w:r>
        <w:rPr>
          <w:rFonts w:hint="eastAsia" w:ascii="仿宋" w:hAnsi="仿宋" w:eastAsia="仿宋" w:cs="仿宋"/>
          <w:bCs/>
          <w:color w:val="000000"/>
          <w:sz w:val="32"/>
          <w:szCs w:val="32"/>
          <w:highlight w:val="none"/>
          <w:lang w:val="en-US" w:eastAsia="zh-CN"/>
        </w:rPr>
        <w:drawing>
          <wp:inline distT="0" distB="0" distL="114300" distR="114300">
            <wp:extent cx="4057650" cy="2489200"/>
            <wp:effectExtent l="0" t="0" r="6350" b="0"/>
            <wp:docPr id="21" name="图片 21" descr="38ac7417f8037b5c4584736d94e3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38ac7417f8037b5c4584736d94e3032"/>
                    <pic:cNvPicPr>
                      <a:picLocks noChangeAspect="1"/>
                    </pic:cNvPicPr>
                  </pic:nvPicPr>
                  <pic:blipFill>
                    <a:blip r:embed="rId16"/>
                    <a:srcRect t="21206"/>
                    <a:stretch>
                      <a:fillRect/>
                    </a:stretch>
                  </pic:blipFill>
                  <pic:spPr>
                    <a:xfrm>
                      <a:off x="0" y="0"/>
                      <a:ext cx="4057650" cy="2489200"/>
                    </a:xfrm>
                    <a:prstGeom prst="rect">
                      <a:avLst/>
                    </a:prstGeom>
                  </pic:spPr>
                </pic:pic>
              </a:graphicData>
            </a:graphic>
          </wp:inline>
        </w:drawing>
      </w:r>
    </w:p>
    <w:p w14:paraId="64AC7872">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 w:hAnsi="仿宋" w:eastAsia="仿宋" w:cs="仿宋"/>
          <w:b/>
          <w:bCs/>
          <w:sz w:val="32"/>
          <w:szCs w:val="32"/>
          <w:highlight w:val="none"/>
        </w:rPr>
      </w:pPr>
      <w:r>
        <w:rPr>
          <w:rFonts w:hint="eastAsia" w:ascii="仿宋" w:hAnsi="仿宋" w:eastAsia="仿宋" w:cs="仿宋"/>
          <w:b/>
          <w:bCs/>
          <w:sz w:val="32"/>
          <w:szCs w:val="32"/>
          <w:highlight w:val="none"/>
          <w:lang w:val="en-US" w:eastAsia="zh-CN"/>
        </w:rPr>
        <w:t>十三、绿色金融未来展望</w:t>
      </w:r>
    </w:p>
    <w:p w14:paraId="66CB7046">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Chars="0" w:firstLine="640" w:firstLineChars="200"/>
        <w:textAlignment w:val="auto"/>
        <w:rPr>
          <w:rFonts w:hint="eastAsia" w:ascii="仿宋" w:hAnsi="仿宋" w:eastAsia="仿宋" w:cs="仿宋"/>
          <w:b w:val="0"/>
          <w:bCs w:val="0"/>
          <w:sz w:val="32"/>
          <w:szCs w:val="32"/>
          <w:highlight w:val="none"/>
          <w:lang w:val="en-US" w:eastAsia="zh-CN"/>
        </w:rPr>
      </w:pPr>
      <w:r>
        <w:rPr>
          <w:rFonts w:hint="eastAsia" w:ascii="仿宋" w:hAnsi="仿宋" w:eastAsia="仿宋" w:cs="仿宋"/>
          <w:b w:val="0"/>
          <w:bCs w:val="0"/>
          <w:sz w:val="32"/>
          <w:szCs w:val="32"/>
          <w:highlight w:val="none"/>
          <w:lang w:val="en-US" w:eastAsia="zh-CN"/>
        </w:rPr>
        <w:t>习近平总书记在中央农村工作会议上讲道：产业振兴是乡村振兴的重中之重，要落实产业帮扶政策，做好“土特产”文章，依托农业农村特色资源，向开发农业多种功能、挖掘乡村多元价值要效益，向一二三产业融合发展要效益，强龙头、补链条、兴业态、树品牌，推动乡村产业全链条升级，增强市场竞争力和可持续发展能力。本行紧密团结在以习近平同志为核心的党中央周围，坚定信心、踔厉奋发、埋头苦干，全面推进乡村振兴，加快建设农业强国，从以下方面落实好绿色金融工作：</w:t>
      </w:r>
    </w:p>
    <w:p w14:paraId="0FE7D58C">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Chars="0" w:firstLine="643" w:firstLineChars="200"/>
        <w:textAlignment w:val="auto"/>
        <w:rPr>
          <w:rFonts w:hint="eastAsia" w:ascii="仿宋" w:hAnsi="仿宋" w:eastAsia="仿宋" w:cs="仿宋"/>
          <w:sz w:val="32"/>
          <w:szCs w:val="32"/>
          <w:highlight w:val="none"/>
          <w:lang w:eastAsia="zh-CN"/>
        </w:rPr>
      </w:pPr>
      <w:r>
        <w:rPr>
          <w:rFonts w:hint="eastAsia" w:ascii="仿宋" w:hAnsi="仿宋" w:eastAsia="仿宋" w:cs="仿宋"/>
          <w:b/>
          <w:bCs/>
          <w:sz w:val="32"/>
          <w:szCs w:val="32"/>
          <w:highlight w:val="none"/>
          <w:lang w:val="en-US" w:eastAsia="zh-CN"/>
        </w:rPr>
        <w:t>一是</w:t>
      </w:r>
      <w:r>
        <w:rPr>
          <w:rFonts w:hint="eastAsia" w:ascii="仿宋" w:hAnsi="仿宋" w:eastAsia="仿宋" w:cs="仿宋"/>
          <w:sz w:val="32"/>
          <w:szCs w:val="32"/>
          <w:highlight w:val="none"/>
        </w:rPr>
        <w:t>做好绿色金融设计和规划，</w:t>
      </w:r>
      <w:r>
        <w:rPr>
          <w:rFonts w:hint="eastAsia" w:ascii="仿宋" w:hAnsi="仿宋" w:eastAsia="仿宋" w:cs="仿宋"/>
          <w:sz w:val="32"/>
          <w:szCs w:val="32"/>
          <w:highlight w:val="none"/>
          <w:lang w:val="en-US" w:eastAsia="zh-CN"/>
        </w:rPr>
        <w:t>将绿色金融工作纳入本行未来三年</w:t>
      </w:r>
      <w:r>
        <w:rPr>
          <w:rFonts w:hint="eastAsia" w:ascii="仿宋" w:hAnsi="仿宋" w:eastAsia="仿宋" w:cs="仿宋"/>
          <w:sz w:val="32"/>
          <w:szCs w:val="32"/>
          <w:highlight w:val="none"/>
        </w:rPr>
        <w:t>发展方向与战略规划</w:t>
      </w:r>
      <w:r>
        <w:rPr>
          <w:rFonts w:hint="eastAsia" w:ascii="仿宋" w:hAnsi="仿宋" w:eastAsia="仿宋" w:cs="仿宋"/>
          <w:sz w:val="32"/>
          <w:szCs w:val="32"/>
          <w:highlight w:val="none"/>
          <w:lang w:val="en-US" w:eastAsia="zh-CN"/>
        </w:rPr>
        <w:t>之中，</w:t>
      </w:r>
      <w:r>
        <w:rPr>
          <w:rFonts w:hint="eastAsia" w:ascii="仿宋" w:hAnsi="仿宋" w:eastAsia="仿宋" w:cs="仿宋"/>
          <w:sz w:val="32"/>
          <w:szCs w:val="32"/>
          <w:highlight w:val="none"/>
        </w:rPr>
        <w:t>主动探索新的绿色低碳发展道路具有重大意义。这是做好“六稳”工作、落实“六保”任务的有效途径</w:t>
      </w:r>
      <w:r>
        <w:rPr>
          <w:rFonts w:hint="eastAsia" w:ascii="仿宋" w:hAnsi="仿宋" w:eastAsia="仿宋" w:cs="仿宋"/>
          <w:sz w:val="32"/>
          <w:szCs w:val="32"/>
          <w:highlight w:val="none"/>
          <w:lang w:eastAsia="zh-CN"/>
        </w:rPr>
        <w:t>；</w:t>
      </w:r>
      <w:r>
        <w:rPr>
          <w:rFonts w:hint="eastAsia" w:ascii="仿宋" w:hAnsi="仿宋" w:eastAsia="仿宋" w:cs="仿宋"/>
          <w:sz w:val="32"/>
          <w:szCs w:val="32"/>
          <w:highlight w:val="none"/>
          <w:lang w:val="en-US" w:eastAsia="zh-CN"/>
        </w:rPr>
        <w:t>也是</w:t>
      </w:r>
      <w:r>
        <w:rPr>
          <w:rFonts w:hint="eastAsia" w:ascii="仿宋" w:hAnsi="仿宋" w:eastAsia="仿宋" w:cs="仿宋"/>
          <w:sz w:val="32"/>
          <w:szCs w:val="32"/>
          <w:highlight w:val="none"/>
        </w:rPr>
        <w:t>提高</w:t>
      </w:r>
      <w:r>
        <w:rPr>
          <w:rFonts w:hint="eastAsia" w:ascii="仿宋" w:hAnsi="仿宋" w:eastAsia="仿宋" w:cs="仿宋"/>
          <w:sz w:val="32"/>
          <w:szCs w:val="32"/>
          <w:highlight w:val="none"/>
          <w:lang w:val="en-US" w:eastAsia="zh-CN"/>
        </w:rPr>
        <w:t>本行</w:t>
      </w:r>
      <w:r>
        <w:rPr>
          <w:rFonts w:hint="eastAsia" w:ascii="仿宋" w:hAnsi="仿宋" w:eastAsia="仿宋" w:cs="仿宋"/>
          <w:sz w:val="32"/>
          <w:szCs w:val="32"/>
          <w:highlight w:val="none"/>
        </w:rPr>
        <w:t>自身适应性、竞争力和普惠性的必然选择</w:t>
      </w:r>
      <w:r>
        <w:rPr>
          <w:rFonts w:hint="eastAsia" w:ascii="仿宋" w:hAnsi="仿宋" w:eastAsia="仿宋" w:cs="仿宋"/>
          <w:sz w:val="32"/>
          <w:szCs w:val="32"/>
          <w:highlight w:val="none"/>
          <w:lang w:eastAsia="zh-CN"/>
        </w:rPr>
        <w:t>，要</w:t>
      </w:r>
      <w:r>
        <w:rPr>
          <w:rFonts w:hint="eastAsia" w:ascii="仿宋" w:hAnsi="仿宋" w:eastAsia="仿宋" w:cs="仿宋"/>
          <w:sz w:val="32"/>
          <w:szCs w:val="32"/>
          <w:highlight w:val="none"/>
        </w:rPr>
        <w:t>从战略定位上</w:t>
      </w:r>
      <w:r>
        <w:rPr>
          <w:rFonts w:hint="eastAsia" w:ascii="仿宋" w:hAnsi="仿宋" w:eastAsia="仿宋" w:cs="仿宋"/>
          <w:sz w:val="32"/>
          <w:szCs w:val="32"/>
          <w:highlight w:val="none"/>
          <w:lang w:val="en-US" w:eastAsia="zh-CN"/>
        </w:rPr>
        <w:t>进行</w:t>
      </w:r>
      <w:r>
        <w:rPr>
          <w:rFonts w:hint="eastAsia" w:ascii="仿宋" w:hAnsi="仿宋" w:eastAsia="仿宋" w:cs="仿宋"/>
          <w:sz w:val="32"/>
          <w:szCs w:val="32"/>
          <w:highlight w:val="none"/>
        </w:rPr>
        <w:t>总体规划</w:t>
      </w:r>
      <w:r>
        <w:rPr>
          <w:rFonts w:hint="eastAsia" w:ascii="仿宋" w:hAnsi="仿宋" w:eastAsia="仿宋" w:cs="仿宋"/>
          <w:sz w:val="32"/>
          <w:szCs w:val="32"/>
          <w:highlight w:val="none"/>
          <w:lang w:eastAsia="zh-CN"/>
        </w:rPr>
        <w:t>，</w:t>
      </w:r>
      <w:r>
        <w:rPr>
          <w:rFonts w:hint="eastAsia" w:ascii="仿宋" w:hAnsi="仿宋" w:eastAsia="仿宋" w:cs="仿宋"/>
          <w:sz w:val="32"/>
          <w:szCs w:val="32"/>
          <w:highlight w:val="none"/>
        </w:rPr>
        <w:t>践行绿色金融</w:t>
      </w:r>
      <w:r>
        <w:rPr>
          <w:rFonts w:hint="eastAsia" w:ascii="仿宋" w:hAnsi="仿宋" w:eastAsia="仿宋" w:cs="仿宋"/>
          <w:sz w:val="32"/>
          <w:szCs w:val="32"/>
          <w:highlight w:val="none"/>
          <w:lang w:eastAsia="zh-CN"/>
        </w:rPr>
        <w:t>。</w:t>
      </w:r>
    </w:p>
    <w:p w14:paraId="1E6E2385">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Chars="0" w:firstLine="643" w:firstLineChars="200"/>
        <w:textAlignment w:val="auto"/>
        <w:rPr>
          <w:rFonts w:hint="eastAsia" w:ascii="仿宋" w:hAnsi="仿宋" w:eastAsia="仿宋" w:cs="仿宋"/>
          <w:sz w:val="32"/>
          <w:szCs w:val="32"/>
          <w:highlight w:val="none"/>
          <w:lang w:eastAsia="zh-CN"/>
        </w:rPr>
      </w:pPr>
      <w:r>
        <w:rPr>
          <w:rFonts w:hint="eastAsia" w:ascii="仿宋" w:hAnsi="仿宋" w:eastAsia="仿宋" w:cs="仿宋"/>
          <w:b/>
          <w:bCs/>
          <w:sz w:val="32"/>
          <w:szCs w:val="32"/>
          <w:highlight w:val="none"/>
          <w:lang w:val="en-US" w:eastAsia="zh-CN"/>
        </w:rPr>
        <w:t>二是</w:t>
      </w:r>
      <w:r>
        <w:rPr>
          <w:rFonts w:hint="eastAsia" w:ascii="仿宋" w:hAnsi="仿宋" w:eastAsia="仿宋" w:cs="仿宋"/>
          <w:sz w:val="32"/>
          <w:szCs w:val="32"/>
          <w:highlight w:val="none"/>
        </w:rPr>
        <w:t>稳步扩大绿色信贷规模。将绿色金融工作纳入年度工作重点,单列专项信贷计划,加大对绿色低碳领域的首贷、信用贷、无还本续贷的支持力度。</w:t>
      </w:r>
    </w:p>
    <w:p w14:paraId="18F6A346">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Chars="0" w:firstLine="643" w:firstLineChars="200"/>
        <w:textAlignment w:val="auto"/>
        <w:rPr>
          <w:rFonts w:hint="eastAsia" w:ascii="仿宋" w:hAnsi="仿宋" w:eastAsia="仿宋" w:cs="仿宋"/>
          <w:sz w:val="32"/>
          <w:szCs w:val="32"/>
          <w:highlight w:val="none"/>
        </w:rPr>
      </w:pPr>
      <w:r>
        <w:rPr>
          <w:rFonts w:hint="eastAsia" w:ascii="仿宋" w:hAnsi="仿宋" w:eastAsia="仿宋" w:cs="仿宋"/>
          <w:b/>
          <w:bCs/>
          <w:sz w:val="32"/>
          <w:szCs w:val="32"/>
          <w:highlight w:val="none"/>
          <w:lang w:val="en-US" w:eastAsia="zh-CN"/>
        </w:rPr>
        <w:t>三是</w:t>
      </w:r>
      <w:r>
        <w:rPr>
          <w:rFonts w:hint="eastAsia" w:ascii="仿宋" w:hAnsi="仿宋" w:eastAsia="仿宋" w:cs="仿宋"/>
          <w:sz w:val="32"/>
          <w:szCs w:val="32"/>
          <w:highlight w:val="none"/>
        </w:rPr>
        <w:t>突出绿色信贷支持重点。以清洁能源、节能环保和碳减排技术为支持重点</w:t>
      </w:r>
      <w:r>
        <w:rPr>
          <w:rFonts w:hint="eastAsia" w:ascii="仿宋" w:hAnsi="仿宋" w:eastAsia="仿宋" w:cs="仿宋"/>
          <w:sz w:val="32"/>
          <w:szCs w:val="32"/>
          <w:highlight w:val="none"/>
          <w:lang w:val="en-US" w:eastAsia="zh-CN"/>
        </w:rPr>
        <w:t>,</w:t>
      </w:r>
      <w:r>
        <w:rPr>
          <w:rFonts w:hint="eastAsia" w:ascii="仿宋" w:hAnsi="仿宋" w:eastAsia="仿宋" w:cs="仿宋"/>
          <w:sz w:val="32"/>
          <w:szCs w:val="32"/>
          <w:highlight w:val="none"/>
        </w:rPr>
        <w:t>做好金融支持绿色低碳高质量发展工作，是新时期新阶段党中央、国务院赋予金融</w:t>
      </w:r>
      <w:r>
        <w:rPr>
          <w:rFonts w:hint="eastAsia" w:ascii="仿宋" w:hAnsi="仿宋" w:eastAsia="仿宋" w:cs="仿宋"/>
          <w:sz w:val="32"/>
          <w:szCs w:val="32"/>
          <w:highlight w:val="none"/>
          <w:lang w:val="en-US" w:eastAsia="zh-CN"/>
        </w:rPr>
        <w:t>机构</w:t>
      </w:r>
      <w:r>
        <w:rPr>
          <w:rFonts w:hint="eastAsia" w:ascii="仿宋" w:hAnsi="仿宋" w:eastAsia="仿宋" w:cs="仿宋"/>
          <w:sz w:val="32"/>
          <w:szCs w:val="32"/>
          <w:highlight w:val="none"/>
        </w:rPr>
        <w:t>的光荣使命和重要任务。</w:t>
      </w:r>
    </w:p>
    <w:p w14:paraId="77F655A9">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Chars="0" w:firstLine="643" w:firstLineChars="200"/>
        <w:textAlignment w:val="auto"/>
        <w:rPr>
          <w:rFonts w:hint="eastAsia" w:ascii="仿宋" w:hAnsi="仿宋" w:eastAsia="仿宋" w:cs="仿宋"/>
          <w:sz w:val="32"/>
          <w:szCs w:val="32"/>
          <w:highlight w:val="none"/>
          <w:lang w:eastAsia="zh-CN"/>
        </w:rPr>
      </w:pPr>
      <w:r>
        <w:rPr>
          <w:rFonts w:hint="eastAsia" w:ascii="仿宋" w:hAnsi="仿宋" w:eastAsia="仿宋" w:cs="仿宋"/>
          <w:b/>
          <w:bCs/>
          <w:sz w:val="32"/>
          <w:szCs w:val="32"/>
          <w:highlight w:val="none"/>
          <w:lang w:val="en-US" w:eastAsia="zh-CN"/>
        </w:rPr>
        <w:t>四是</w:t>
      </w:r>
      <w:r>
        <w:rPr>
          <w:rFonts w:hint="eastAsia" w:ascii="仿宋" w:hAnsi="仿宋" w:eastAsia="仿宋" w:cs="仿宋"/>
          <w:sz w:val="32"/>
          <w:szCs w:val="32"/>
          <w:highlight w:val="none"/>
        </w:rPr>
        <w:t>制定绿色金融科技发展规划，加大对绿色金融科技的资源投入。制定金融科技推动绿色金融发展战略、重点任务以及保障措施</w:t>
      </w:r>
      <w:r>
        <w:rPr>
          <w:rFonts w:hint="eastAsia" w:ascii="仿宋" w:hAnsi="仿宋" w:eastAsia="仿宋" w:cs="仿宋"/>
          <w:sz w:val="32"/>
          <w:szCs w:val="32"/>
          <w:highlight w:val="none"/>
          <w:lang w:eastAsia="zh-CN"/>
        </w:rPr>
        <w:t>。</w:t>
      </w:r>
    </w:p>
    <w:p w14:paraId="26AF78A4">
      <w:pPr>
        <w:keepNext w:val="0"/>
        <w:keepLines w:val="0"/>
        <w:pageBreakBefore w:val="0"/>
        <w:numPr>
          <w:ilvl w:val="0"/>
          <w:numId w:val="0"/>
        </w:numPr>
        <w:kinsoku/>
        <w:wordWrap/>
        <w:overflowPunct/>
        <w:topLinePunct w:val="0"/>
        <w:autoSpaceDE/>
        <w:autoSpaceDN/>
        <w:bidi w:val="0"/>
        <w:snapToGrid/>
        <w:spacing w:line="600" w:lineRule="exact"/>
        <w:ind w:firstLine="640"/>
        <w:jc w:val="left"/>
        <w:textAlignment w:val="auto"/>
        <w:rPr>
          <w:rFonts w:hint="eastAsia" w:ascii="仿宋" w:hAnsi="仿宋" w:eastAsia="仿宋" w:cs="仿宋"/>
          <w:sz w:val="32"/>
          <w:szCs w:val="32"/>
          <w:highlight w:val="none"/>
        </w:rPr>
      </w:pPr>
      <w:r>
        <w:rPr>
          <w:rFonts w:hint="eastAsia" w:ascii="仿宋" w:hAnsi="仿宋" w:eastAsia="仿宋" w:cs="仿宋"/>
          <w:b/>
          <w:bCs/>
          <w:sz w:val="32"/>
          <w:szCs w:val="32"/>
          <w:highlight w:val="none"/>
          <w:lang w:val="en-US" w:eastAsia="zh-CN"/>
        </w:rPr>
        <w:t>五是</w:t>
      </w:r>
      <w:r>
        <w:rPr>
          <w:rFonts w:hint="eastAsia" w:ascii="仿宋" w:hAnsi="仿宋" w:eastAsia="仿宋" w:cs="仿宋"/>
          <w:sz w:val="32"/>
          <w:szCs w:val="32"/>
          <w:highlight w:val="none"/>
        </w:rPr>
        <w:t>加强绿色金融人才培养,建立相应的体制机制、人才队伍、技术储备</w:t>
      </w:r>
      <w:r>
        <w:rPr>
          <w:rFonts w:hint="eastAsia" w:ascii="仿宋" w:hAnsi="仿宋" w:eastAsia="仿宋" w:cs="仿宋"/>
          <w:sz w:val="32"/>
          <w:szCs w:val="32"/>
          <w:highlight w:val="none"/>
          <w:lang w:eastAsia="zh-CN"/>
        </w:rPr>
        <w:t>，</w:t>
      </w:r>
      <w:r>
        <w:rPr>
          <w:rFonts w:hint="eastAsia" w:ascii="仿宋" w:hAnsi="仿宋" w:eastAsia="仿宋" w:cs="仿宋"/>
          <w:sz w:val="32"/>
          <w:szCs w:val="32"/>
          <w:highlight w:val="none"/>
        </w:rPr>
        <w:t>不断提高绿色金融服务能力。</w:t>
      </w:r>
    </w:p>
    <w:p w14:paraId="45C7D889">
      <w:pPr>
        <w:keepNext w:val="0"/>
        <w:keepLines w:val="0"/>
        <w:pageBreakBefore w:val="0"/>
        <w:numPr>
          <w:ilvl w:val="0"/>
          <w:numId w:val="0"/>
        </w:numPr>
        <w:kinsoku/>
        <w:wordWrap/>
        <w:overflowPunct/>
        <w:topLinePunct w:val="0"/>
        <w:autoSpaceDE/>
        <w:autoSpaceDN/>
        <w:bidi w:val="0"/>
        <w:snapToGrid/>
        <w:spacing w:line="600" w:lineRule="exact"/>
        <w:jc w:val="left"/>
        <w:textAlignment w:val="auto"/>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br w:type="textWrapping"/>
      </w:r>
      <w:r>
        <w:rPr>
          <w:rFonts w:hint="eastAsia" w:ascii="仿宋" w:hAnsi="仿宋" w:eastAsia="仿宋" w:cs="仿宋"/>
          <w:b/>
          <w:bCs/>
          <w:sz w:val="28"/>
          <w:szCs w:val="28"/>
          <w:highlight w:val="none"/>
          <w:lang w:val="en-US" w:eastAsia="zh-CN"/>
        </w:rPr>
        <w:br w:type="textWrapping"/>
      </w:r>
      <w:r>
        <w:rPr>
          <w:rFonts w:hint="eastAsia" w:ascii="仿宋" w:hAnsi="仿宋" w:eastAsia="仿宋" w:cs="仿宋"/>
          <w:b/>
          <w:bCs/>
          <w:sz w:val="28"/>
          <w:szCs w:val="28"/>
          <w:highlight w:val="none"/>
          <w:lang w:val="en-US" w:eastAsia="zh-CN"/>
        </w:rPr>
        <w:br w:type="textWrapping"/>
      </w:r>
      <w:r>
        <w:rPr>
          <w:rFonts w:hint="eastAsia" w:ascii="仿宋" w:hAnsi="仿宋" w:eastAsia="仿宋" w:cs="仿宋"/>
          <w:b/>
          <w:bCs/>
          <w:sz w:val="28"/>
          <w:szCs w:val="28"/>
          <w:highlight w:val="none"/>
          <w:lang w:val="en-US" w:eastAsia="zh-CN"/>
        </w:rPr>
        <w:br w:type="textWrapping"/>
      </w:r>
    </w:p>
    <w:p w14:paraId="1A2704E2">
      <w:pPr>
        <w:keepNext w:val="0"/>
        <w:keepLines w:val="0"/>
        <w:pageBreakBefore w:val="0"/>
        <w:numPr>
          <w:ilvl w:val="0"/>
          <w:numId w:val="0"/>
        </w:numPr>
        <w:kinsoku/>
        <w:wordWrap/>
        <w:overflowPunct/>
        <w:topLinePunct w:val="0"/>
        <w:autoSpaceDE/>
        <w:autoSpaceDN/>
        <w:bidi w:val="0"/>
        <w:snapToGrid/>
        <w:spacing w:line="600" w:lineRule="exact"/>
        <w:jc w:val="left"/>
        <w:textAlignment w:val="auto"/>
        <w:rPr>
          <w:rFonts w:hint="eastAsia" w:ascii="仿宋" w:hAnsi="仿宋" w:eastAsia="仿宋" w:cs="仿宋"/>
          <w:b/>
          <w:bCs/>
          <w:sz w:val="28"/>
          <w:szCs w:val="28"/>
          <w:highlight w:val="none"/>
          <w:lang w:val="en-US" w:eastAsia="zh-CN"/>
        </w:rPr>
      </w:pPr>
    </w:p>
    <w:p w14:paraId="05F08564">
      <w:pPr>
        <w:keepNext w:val="0"/>
        <w:keepLines w:val="0"/>
        <w:pageBreakBefore w:val="0"/>
        <w:numPr>
          <w:ilvl w:val="0"/>
          <w:numId w:val="0"/>
        </w:numPr>
        <w:kinsoku/>
        <w:wordWrap/>
        <w:overflowPunct/>
        <w:topLinePunct w:val="0"/>
        <w:autoSpaceDE/>
        <w:autoSpaceDN/>
        <w:bidi w:val="0"/>
        <w:snapToGrid/>
        <w:spacing w:line="600" w:lineRule="exact"/>
        <w:jc w:val="left"/>
        <w:textAlignment w:val="auto"/>
        <w:rPr>
          <w:rFonts w:hint="eastAsia" w:ascii="仿宋" w:hAnsi="仿宋" w:eastAsia="仿宋" w:cs="仿宋"/>
          <w:b/>
          <w:bCs/>
          <w:sz w:val="28"/>
          <w:szCs w:val="28"/>
          <w:highlight w:val="none"/>
          <w:lang w:val="en-US" w:eastAsia="zh-CN"/>
        </w:rPr>
      </w:pPr>
    </w:p>
    <w:p w14:paraId="00F4463C">
      <w:pPr>
        <w:keepNext w:val="0"/>
        <w:keepLines w:val="0"/>
        <w:pageBreakBefore w:val="0"/>
        <w:numPr>
          <w:ilvl w:val="0"/>
          <w:numId w:val="0"/>
        </w:numPr>
        <w:kinsoku/>
        <w:wordWrap/>
        <w:overflowPunct/>
        <w:topLinePunct w:val="0"/>
        <w:autoSpaceDE/>
        <w:autoSpaceDN/>
        <w:bidi w:val="0"/>
        <w:snapToGrid/>
        <w:spacing w:line="600" w:lineRule="exact"/>
        <w:jc w:val="left"/>
        <w:textAlignment w:val="auto"/>
        <w:rPr>
          <w:rFonts w:hint="eastAsia" w:ascii="仿宋" w:hAnsi="仿宋" w:eastAsia="仿宋" w:cs="仿宋"/>
          <w:b/>
          <w:bCs/>
          <w:sz w:val="28"/>
          <w:szCs w:val="28"/>
          <w:highlight w:val="none"/>
          <w:lang w:val="en-US" w:eastAsia="zh-CN"/>
        </w:rPr>
      </w:pPr>
    </w:p>
    <w:p w14:paraId="7298B0DB">
      <w:pPr>
        <w:keepNext w:val="0"/>
        <w:keepLines w:val="0"/>
        <w:pageBreakBefore w:val="0"/>
        <w:numPr>
          <w:ilvl w:val="0"/>
          <w:numId w:val="0"/>
        </w:numPr>
        <w:kinsoku/>
        <w:wordWrap/>
        <w:overflowPunct/>
        <w:topLinePunct w:val="0"/>
        <w:autoSpaceDE/>
        <w:autoSpaceDN/>
        <w:bidi w:val="0"/>
        <w:snapToGrid/>
        <w:spacing w:line="600" w:lineRule="exact"/>
        <w:jc w:val="left"/>
        <w:textAlignment w:val="auto"/>
        <w:rPr>
          <w:rFonts w:hint="eastAsia" w:ascii="仿宋" w:hAnsi="仿宋" w:eastAsia="仿宋" w:cs="仿宋"/>
          <w:b/>
          <w:bCs/>
          <w:sz w:val="28"/>
          <w:szCs w:val="28"/>
          <w:highlight w:val="none"/>
          <w:lang w:val="en-US" w:eastAsia="zh-CN"/>
        </w:rPr>
      </w:pPr>
    </w:p>
    <w:p w14:paraId="6DA1E402">
      <w:pPr>
        <w:keepNext w:val="0"/>
        <w:keepLines w:val="0"/>
        <w:pageBreakBefore w:val="0"/>
        <w:numPr>
          <w:ilvl w:val="0"/>
          <w:numId w:val="0"/>
        </w:numPr>
        <w:kinsoku/>
        <w:wordWrap/>
        <w:overflowPunct/>
        <w:topLinePunct w:val="0"/>
        <w:autoSpaceDE/>
        <w:autoSpaceDN/>
        <w:bidi w:val="0"/>
        <w:snapToGrid/>
        <w:spacing w:line="600" w:lineRule="exact"/>
        <w:jc w:val="left"/>
        <w:textAlignment w:val="auto"/>
        <w:rPr>
          <w:rFonts w:hint="eastAsia" w:ascii="仿宋" w:hAnsi="仿宋" w:eastAsia="仿宋" w:cs="仿宋"/>
          <w:b/>
          <w:bCs/>
          <w:sz w:val="28"/>
          <w:szCs w:val="28"/>
          <w:highlight w:val="none"/>
          <w:lang w:val="en-US" w:eastAsia="zh-CN"/>
        </w:rPr>
      </w:pPr>
    </w:p>
    <w:p w14:paraId="0E438602">
      <w:pPr>
        <w:keepNext w:val="0"/>
        <w:keepLines w:val="0"/>
        <w:pageBreakBefore w:val="0"/>
        <w:numPr>
          <w:ilvl w:val="0"/>
          <w:numId w:val="0"/>
        </w:numPr>
        <w:kinsoku/>
        <w:wordWrap/>
        <w:overflowPunct/>
        <w:topLinePunct w:val="0"/>
        <w:autoSpaceDE/>
        <w:autoSpaceDN/>
        <w:bidi w:val="0"/>
        <w:snapToGrid/>
        <w:spacing w:line="600" w:lineRule="exact"/>
        <w:jc w:val="left"/>
        <w:textAlignment w:val="auto"/>
        <w:rPr>
          <w:rFonts w:hint="eastAsia" w:ascii="仿宋" w:hAnsi="仿宋" w:eastAsia="仿宋" w:cs="仿宋"/>
          <w:b/>
          <w:bCs/>
          <w:sz w:val="28"/>
          <w:szCs w:val="28"/>
          <w:highlight w:val="none"/>
          <w:lang w:val="en-US" w:eastAsia="zh-CN"/>
        </w:rPr>
      </w:pPr>
    </w:p>
    <w:p w14:paraId="7F3D9DAD">
      <w:pPr>
        <w:keepNext w:val="0"/>
        <w:keepLines w:val="0"/>
        <w:pageBreakBefore w:val="0"/>
        <w:numPr>
          <w:ilvl w:val="0"/>
          <w:numId w:val="0"/>
        </w:numPr>
        <w:kinsoku/>
        <w:wordWrap/>
        <w:overflowPunct/>
        <w:topLinePunct w:val="0"/>
        <w:autoSpaceDE/>
        <w:autoSpaceDN/>
        <w:bidi w:val="0"/>
        <w:snapToGrid/>
        <w:spacing w:line="600" w:lineRule="exact"/>
        <w:jc w:val="left"/>
        <w:textAlignment w:val="auto"/>
        <w:rPr>
          <w:rFonts w:hint="eastAsia" w:ascii="仿宋" w:hAnsi="仿宋" w:eastAsia="仿宋" w:cs="仿宋"/>
          <w:b/>
          <w:bCs/>
          <w:sz w:val="28"/>
          <w:szCs w:val="28"/>
          <w:highlight w:val="none"/>
          <w:lang w:val="en-US" w:eastAsia="zh-CN"/>
        </w:rPr>
      </w:pPr>
    </w:p>
    <w:p w14:paraId="7F15A242">
      <w:pPr>
        <w:keepNext w:val="0"/>
        <w:keepLines w:val="0"/>
        <w:pageBreakBefore w:val="0"/>
        <w:numPr>
          <w:ilvl w:val="0"/>
          <w:numId w:val="0"/>
        </w:numPr>
        <w:kinsoku/>
        <w:wordWrap/>
        <w:overflowPunct/>
        <w:topLinePunct w:val="0"/>
        <w:autoSpaceDE/>
        <w:autoSpaceDN/>
        <w:bidi w:val="0"/>
        <w:snapToGrid/>
        <w:spacing w:line="600" w:lineRule="exact"/>
        <w:jc w:val="left"/>
        <w:textAlignment w:val="auto"/>
        <w:rPr>
          <w:rFonts w:hint="eastAsia" w:ascii="仿宋" w:hAnsi="仿宋" w:eastAsia="仿宋" w:cs="仿宋"/>
          <w:b/>
          <w:bCs/>
          <w:sz w:val="28"/>
          <w:szCs w:val="28"/>
          <w:highlight w:val="none"/>
          <w:lang w:val="en-US" w:eastAsia="zh-CN"/>
        </w:rPr>
      </w:pPr>
    </w:p>
    <w:p w14:paraId="508774A1">
      <w:pPr>
        <w:keepNext w:val="0"/>
        <w:keepLines w:val="0"/>
        <w:pageBreakBefore w:val="0"/>
        <w:numPr>
          <w:ilvl w:val="0"/>
          <w:numId w:val="0"/>
        </w:numPr>
        <w:kinsoku/>
        <w:wordWrap/>
        <w:overflowPunct/>
        <w:topLinePunct w:val="0"/>
        <w:autoSpaceDE/>
        <w:autoSpaceDN/>
        <w:bidi w:val="0"/>
        <w:snapToGrid/>
        <w:spacing w:line="600" w:lineRule="exact"/>
        <w:jc w:val="left"/>
        <w:textAlignment w:val="auto"/>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br w:type="textWrapping"/>
      </w:r>
      <w:r>
        <w:rPr>
          <w:rFonts w:hint="eastAsia" w:ascii="仿宋" w:hAnsi="仿宋" w:eastAsia="仿宋" w:cs="仿宋"/>
          <w:b/>
          <w:bCs/>
          <w:sz w:val="28"/>
          <w:szCs w:val="28"/>
          <w:highlight w:val="none"/>
          <w:lang w:val="en-US" w:eastAsia="zh-CN"/>
        </w:rPr>
        <w:br w:type="textWrapping"/>
      </w:r>
      <w:bookmarkStart w:id="0" w:name="_GoBack"/>
      <w:bookmarkEnd w:id="0"/>
      <w:r>
        <w:rPr>
          <w:rFonts w:hint="eastAsia" w:ascii="仿宋" w:hAnsi="仿宋" w:eastAsia="仿宋" w:cs="仿宋"/>
          <w:b/>
          <w:bCs/>
          <w:sz w:val="28"/>
          <w:szCs w:val="28"/>
          <w:highlight w:val="none"/>
          <w:lang w:val="en-US" w:eastAsia="zh-CN"/>
        </w:rPr>
        <w:br w:type="textWrapping"/>
      </w:r>
      <w:r>
        <w:rPr>
          <w:rFonts w:hint="eastAsia" w:ascii="仿宋" w:hAnsi="仿宋" w:eastAsia="仿宋" w:cs="仿宋"/>
          <w:b/>
          <w:bCs/>
          <w:sz w:val="28"/>
          <w:szCs w:val="28"/>
          <w:highlight w:val="none"/>
          <w:lang w:val="en-US" w:eastAsia="zh-CN"/>
        </w:rPr>
        <w:br w:type="textWrapping"/>
      </w:r>
    </w:p>
    <w:p w14:paraId="6A45F9DC">
      <w:pPr>
        <w:keepNext w:val="0"/>
        <w:keepLines w:val="0"/>
        <w:pageBreakBefore w:val="0"/>
        <w:kinsoku/>
        <w:wordWrap/>
        <w:overflowPunct/>
        <w:topLinePunct w:val="0"/>
        <w:autoSpaceDE/>
        <w:autoSpaceDN/>
        <w:bidi w:val="0"/>
        <w:snapToGrid/>
        <w:spacing w:line="600" w:lineRule="exact"/>
        <w:jc w:val="center"/>
        <w:textAlignment w:val="auto"/>
        <w:rPr>
          <w:rFonts w:ascii="仿宋" w:hAnsi="仿宋" w:eastAsia="仿宋" w:cs="仿宋"/>
          <w:b/>
          <w:bCs/>
          <w:sz w:val="32"/>
          <w:szCs w:val="32"/>
          <w:highlight w:val="none"/>
        </w:rPr>
      </w:pPr>
      <w:r>
        <w:rPr>
          <w:rFonts w:hint="eastAsia" w:ascii="仿宋" w:hAnsi="仿宋" w:eastAsia="仿宋" w:cs="仿宋"/>
          <w:b/>
          <w:bCs/>
          <w:sz w:val="32"/>
          <w:szCs w:val="32"/>
          <w:highlight w:val="none"/>
        </w:rPr>
        <w:t>读者反馈</w:t>
      </w:r>
    </w:p>
    <w:p w14:paraId="6F4A49DF">
      <w:pPr>
        <w:keepNext w:val="0"/>
        <w:keepLines w:val="0"/>
        <w:pageBreakBefore w:val="0"/>
        <w:kinsoku/>
        <w:wordWrap/>
        <w:overflowPunct/>
        <w:topLinePunct w:val="0"/>
        <w:autoSpaceDE/>
        <w:autoSpaceDN/>
        <w:bidi w:val="0"/>
        <w:snapToGrid/>
        <w:spacing w:line="600" w:lineRule="exact"/>
        <w:ind w:firstLine="480" w:firstLineChars="200"/>
        <w:textAlignment w:val="auto"/>
        <w:rPr>
          <w:rFonts w:ascii="仿宋" w:hAnsi="仿宋" w:eastAsia="仿宋" w:cs="仿宋"/>
          <w:sz w:val="24"/>
          <w:highlight w:val="none"/>
        </w:rPr>
      </w:pPr>
    </w:p>
    <w:p w14:paraId="332248FE">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ascii="仿宋" w:hAnsi="仿宋" w:eastAsia="仿宋" w:cs="仿宋"/>
          <w:sz w:val="24"/>
          <w:szCs w:val="24"/>
          <w:highlight w:val="none"/>
        </w:rPr>
      </w:pPr>
      <w:r>
        <w:rPr>
          <w:rFonts w:hint="eastAsia" w:ascii="仿宋" w:hAnsi="仿宋" w:eastAsia="仿宋" w:cs="仿宋"/>
          <w:sz w:val="24"/>
          <w:szCs w:val="24"/>
          <w:highlight w:val="none"/>
        </w:rPr>
        <w:t>感谢您阅读《</w:t>
      </w:r>
      <w:r>
        <w:rPr>
          <w:rFonts w:hint="eastAsia" w:ascii="仿宋" w:hAnsi="仿宋" w:eastAsia="仿宋" w:cs="仿宋"/>
          <w:sz w:val="24"/>
          <w:szCs w:val="24"/>
          <w:highlight w:val="none"/>
          <w:lang w:val="en-US" w:eastAsia="zh-CN"/>
        </w:rPr>
        <w:t>桂阳沪</w:t>
      </w:r>
      <w:r>
        <w:rPr>
          <w:rFonts w:hint="eastAsia" w:ascii="仿宋" w:hAnsi="仿宋" w:eastAsia="仿宋" w:cs="仿宋"/>
          <w:sz w:val="24"/>
          <w:szCs w:val="24"/>
          <w:highlight w:val="none"/>
        </w:rPr>
        <w:t>农商</w:t>
      </w:r>
      <w:r>
        <w:rPr>
          <w:rFonts w:hint="eastAsia" w:ascii="仿宋" w:hAnsi="仿宋" w:eastAsia="仿宋" w:cs="仿宋"/>
          <w:sz w:val="24"/>
          <w:szCs w:val="24"/>
          <w:highlight w:val="none"/>
          <w:lang w:val="en-US" w:eastAsia="zh-CN"/>
        </w:rPr>
        <w:t>村镇</w:t>
      </w:r>
      <w:r>
        <w:rPr>
          <w:rFonts w:hint="eastAsia" w:ascii="仿宋" w:hAnsi="仿宋" w:eastAsia="仿宋" w:cs="仿宋"/>
          <w:sz w:val="24"/>
          <w:szCs w:val="24"/>
          <w:highlight w:val="none"/>
        </w:rPr>
        <w:t>银行20</w:t>
      </w:r>
      <w:r>
        <w:rPr>
          <w:rFonts w:hint="eastAsia" w:ascii="仿宋" w:hAnsi="仿宋" w:eastAsia="仿宋" w:cs="仿宋"/>
          <w:sz w:val="24"/>
          <w:szCs w:val="24"/>
          <w:highlight w:val="none"/>
          <w:lang w:val="en-US" w:eastAsia="zh-CN"/>
        </w:rPr>
        <w:t>25</w:t>
      </w:r>
      <w:r>
        <w:rPr>
          <w:rFonts w:hint="eastAsia" w:ascii="仿宋" w:hAnsi="仿宋" w:eastAsia="仿宋" w:cs="仿宋"/>
          <w:sz w:val="24"/>
          <w:szCs w:val="24"/>
          <w:highlight w:val="none"/>
        </w:rPr>
        <w:t>年社会责任报告》。为更好地向您及其他利益相关方提供有价值的信息，促进本行提高履行社会责任的能力和水平，</w:t>
      </w:r>
      <w:r>
        <w:rPr>
          <w:rFonts w:hint="eastAsia" w:ascii="仿宋" w:hAnsi="仿宋" w:eastAsia="仿宋" w:cs="仿宋"/>
          <w:sz w:val="24"/>
          <w:szCs w:val="24"/>
          <w:highlight w:val="none"/>
          <w:lang w:eastAsia="zh-CN"/>
        </w:rPr>
        <w:t>本行</w:t>
      </w:r>
      <w:r>
        <w:rPr>
          <w:rFonts w:hint="eastAsia" w:ascii="仿宋" w:hAnsi="仿宋" w:eastAsia="仿宋" w:cs="仿宋"/>
          <w:sz w:val="24"/>
          <w:szCs w:val="24"/>
          <w:highlight w:val="none"/>
        </w:rPr>
        <w:t>诚挚邀请您对本报告提出宝贵意见和建议，并通过以下方式反馈给我们。</w:t>
      </w:r>
    </w:p>
    <w:p w14:paraId="3A2D7429">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default" w:ascii="仿宋" w:hAnsi="仿宋" w:eastAsia="仿宋" w:cs="仿宋"/>
          <w:sz w:val="24"/>
          <w:szCs w:val="24"/>
          <w:highlight w:val="none"/>
          <w:lang w:val="en-US" w:eastAsia="zh-CN"/>
        </w:rPr>
      </w:pPr>
      <w:r>
        <w:rPr>
          <w:rFonts w:hint="eastAsia" w:ascii="仿宋" w:hAnsi="仿宋" w:eastAsia="仿宋" w:cs="仿宋"/>
          <w:sz w:val="24"/>
          <w:szCs w:val="24"/>
          <w:highlight w:val="none"/>
        </w:rPr>
        <w:t>电话：</w:t>
      </w:r>
      <w:r>
        <w:rPr>
          <w:rFonts w:hint="eastAsia" w:ascii="仿宋" w:hAnsi="仿宋" w:eastAsia="仿宋" w:cs="仿宋"/>
          <w:sz w:val="24"/>
          <w:szCs w:val="24"/>
          <w:highlight w:val="none"/>
          <w:lang w:val="en-US" w:eastAsia="zh-CN"/>
        </w:rPr>
        <w:t>0735-2401855</w:t>
      </w:r>
      <w:r>
        <w:rPr>
          <w:rFonts w:hint="eastAsia" w:ascii="仿宋" w:hAnsi="仿宋" w:eastAsia="仿宋" w:cs="仿宋"/>
          <w:sz w:val="24"/>
          <w:szCs w:val="24"/>
          <w:highlight w:val="none"/>
        </w:rPr>
        <w:t xml:space="preserve">                 </w:t>
      </w:r>
      <w:r>
        <w:rPr>
          <w:rFonts w:hint="eastAsia" w:ascii="仿宋" w:hAnsi="仿宋" w:eastAsia="仿宋" w:cs="仿宋"/>
          <w:sz w:val="24"/>
          <w:szCs w:val="24"/>
          <w:highlight w:val="none"/>
          <w:lang w:val="en-US" w:eastAsia="zh-CN"/>
        </w:rPr>
        <w:t>邮件</w:t>
      </w:r>
      <w:r>
        <w:rPr>
          <w:rFonts w:hint="eastAsia" w:ascii="仿宋" w:hAnsi="仿宋" w:eastAsia="仿宋" w:cs="仿宋"/>
          <w:sz w:val="24"/>
          <w:szCs w:val="24"/>
          <w:highlight w:val="none"/>
        </w:rPr>
        <w:t>：</w:t>
      </w:r>
      <w:r>
        <w:rPr>
          <w:rFonts w:hint="eastAsia" w:ascii="仿宋" w:hAnsi="仿宋" w:eastAsia="仿宋" w:cs="仿宋"/>
          <w:sz w:val="24"/>
          <w:szCs w:val="24"/>
          <w:highlight w:val="none"/>
          <w:lang w:val="en-US" w:eastAsia="zh-CN"/>
        </w:rPr>
        <w:t>924207890@qq.com</w:t>
      </w:r>
    </w:p>
    <w:p w14:paraId="4B1F4F28">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default" w:ascii="仿宋" w:hAnsi="仿宋" w:eastAsia="仿宋" w:cs="仿宋"/>
          <w:sz w:val="24"/>
          <w:szCs w:val="24"/>
          <w:highlight w:val="none"/>
          <w:lang w:val="en-US" w:eastAsia="zh-CN"/>
        </w:rPr>
      </w:pPr>
      <w:r>
        <w:rPr>
          <w:rFonts w:hint="eastAsia" w:ascii="仿宋" w:hAnsi="仿宋" w:eastAsia="仿宋" w:cs="仿宋"/>
          <w:sz w:val="24"/>
          <w:szCs w:val="24"/>
          <w:highlight w:val="none"/>
        </w:rPr>
        <w:t>地址：</w:t>
      </w:r>
      <w:r>
        <w:rPr>
          <w:rFonts w:hint="eastAsia" w:ascii="仿宋" w:hAnsi="仿宋" w:eastAsia="仿宋" w:cs="仿宋"/>
          <w:sz w:val="24"/>
          <w:szCs w:val="24"/>
          <w:highlight w:val="none"/>
          <w:lang w:val="en-US" w:eastAsia="zh-CN"/>
        </w:rPr>
        <w:t xml:space="preserve">湖南省郴州市桂阳县龙潭街道文化路128号     </w:t>
      </w:r>
      <w:r>
        <w:rPr>
          <w:rFonts w:hint="eastAsia" w:ascii="仿宋" w:hAnsi="仿宋" w:eastAsia="仿宋" w:cs="仿宋"/>
          <w:sz w:val="24"/>
          <w:szCs w:val="24"/>
          <w:highlight w:val="none"/>
        </w:rPr>
        <w:t xml:space="preserve"> 邮编：</w:t>
      </w:r>
      <w:r>
        <w:rPr>
          <w:rFonts w:hint="eastAsia" w:ascii="仿宋" w:hAnsi="仿宋" w:eastAsia="仿宋" w:cs="仿宋"/>
          <w:sz w:val="24"/>
          <w:szCs w:val="24"/>
          <w:highlight w:val="none"/>
          <w:lang w:val="en-US" w:eastAsia="zh-CN"/>
        </w:rPr>
        <w:t>424400</w:t>
      </w:r>
    </w:p>
    <w:p w14:paraId="512D45AA">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rPr>
        <w:t>联系人：</w:t>
      </w:r>
      <w:r>
        <w:rPr>
          <w:rFonts w:hint="eastAsia" w:ascii="仿宋" w:hAnsi="仿宋" w:eastAsia="仿宋" w:cs="仿宋"/>
          <w:sz w:val="24"/>
          <w:szCs w:val="24"/>
          <w:highlight w:val="none"/>
          <w:lang w:val="en-US" w:eastAsia="zh-CN"/>
        </w:rPr>
        <w:t>罗玄敏</w:t>
      </w:r>
    </w:p>
    <w:p w14:paraId="5AE7A971">
      <w:pPr>
        <w:pStyle w:val="6"/>
        <w:keepNext w:val="0"/>
        <w:keepLines w:val="0"/>
        <w:pageBreakBefore w:val="0"/>
        <w:widowControl w:val="0"/>
        <w:kinsoku/>
        <w:wordWrap/>
        <w:overflowPunct/>
        <w:topLinePunct w:val="0"/>
        <w:autoSpaceDE/>
        <w:autoSpaceDN/>
        <w:bidi w:val="0"/>
        <w:adjustRightInd/>
        <w:snapToGrid/>
        <w:spacing w:after="0" w:line="600" w:lineRule="exact"/>
        <w:textAlignment w:val="auto"/>
        <w:rPr>
          <w:sz w:val="24"/>
          <w:szCs w:val="24"/>
          <w:highlight w:val="none"/>
        </w:rPr>
      </w:pPr>
    </w:p>
    <w:p w14:paraId="3B75F60B">
      <w:pPr>
        <w:keepNext w:val="0"/>
        <w:keepLines w:val="0"/>
        <w:pageBreakBefore w:val="0"/>
        <w:widowControl w:val="0"/>
        <w:numPr>
          <w:ilvl w:val="0"/>
          <w:numId w:val="4"/>
        </w:numPr>
        <w:kinsoku/>
        <w:wordWrap/>
        <w:overflowPunct/>
        <w:topLinePunct w:val="0"/>
        <w:autoSpaceDE/>
        <w:autoSpaceDN/>
        <w:bidi w:val="0"/>
        <w:adjustRightInd/>
        <w:snapToGrid/>
        <w:spacing w:line="600" w:lineRule="exact"/>
        <w:ind w:left="0" w:firstLine="480" w:firstLineChars="200"/>
        <w:textAlignment w:val="auto"/>
        <w:rPr>
          <w:rFonts w:ascii="仿宋" w:hAnsi="仿宋" w:eastAsia="仿宋" w:cs="仿宋"/>
          <w:sz w:val="24"/>
          <w:szCs w:val="24"/>
          <w:highlight w:val="none"/>
        </w:rPr>
      </w:pPr>
      <w:r>
        <w:rPr>
          <w:rFonts w:hint="eastAsia" w:ascii="仿宋" w:hAnsi="仿宋" w:eastAsia="仿宋" w:cs="仿宋"/>
          <w:sz w:val="24"/>
          <w:szCs w:val="24"/>
          <w:highlight w:val="none"/>
        </w:rPr>
        <w:t>您属于哪类利益相关方？</w:t>
      </w:r>
    </w:p>
    <w:p w14:paraId="4D48EAAC">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ascii="仿宋" w:hAnsi="仿宋" w:eastAsia="仿宋" w:cs="仿宋"/>
          <w:color w:val="000000"/>
          <w:kern w:val="0"/>
          <w:sz w:val="24"/>
          <w:szCs w:val="24"/>
          <w:highlight w:val="none"/>
        </w:rPr>
      </w:pPr>
      <w:r>
        <w:rPr>
          <w:rFonts w:hint="eastAsia" w:ascii="仿宋" w:hAnsi="仿宋" w:eastAsia="仿宋" w:cs="仿宋"/>
          <w:sz w:val="24"/>
          <w:szCs w:val="24"/>
          <w:highlight w:val="none"/>
        </w:rPr>
        <w:t>□</w:t>
      </w:r>
      <w:r>
        <w:rPr>
          <w:rFonts w:hint="eastAsia" w:ascii="仿宋" w:hAnsi="仿宋" w:eastAsia="仿宋" w:cs="仿宋"/>
          <w:color w:val="000000"/>
          <w:kern w:val="0"/>
          <w:sz w:val="24"/>
          <w:szCs w:val="24"/>
          <w:highlight w:val="none"/>
        </w:rPr>
        <w:t>股东与投资者</w:t>
      </w:r>
      <w:r>
        <w:rPr>
          <w:rFonts w:hint="eastAsia" w:ascii="仿宋" w:hAnsi="仿宋" w:eastAsia="仿宋" w:cs="仿宋"/>
          <w:sz w:val="24"/>
          <w:szCs w:val="24"/>
          <w:highlight w:val="none"/>
        </w:rPr>
        <w:t>□</w:t>
      </w:r>
      <w:r>
        <w:rPr>
          <w:rFonts w:hint="eastAsia" w:ascii="仿宋" w:hAnsi="仿宋" w:eastAsia="仿宋" w:cs="仿宋"/>
          <w:color w:val="000000"/>
          <w:kern w:val="0"/>
          <w:sz w:val="24"/>
          <w:szCs w:val="24"/>
          <w:highlight w:val="none"/>
        </w:rPr>
        <w:t>客户</w:t>
      </w:r>
      <w:r>
        <w:rPr>
          <w:rFonts w:hint="eastAsia" w:ascii="仿宋" w:hAnsi="仿宋" w:eastAsia="仿宋" w:cs="仿宋"/>
          <w:sz w:val="24"/>
          <w:szCs w:val="24"/>
          <w:highlight w:val="none"/>
        </w:rPr>
        <w:t>□</w:t>
      </w:r>
      <w:r>
        <w:rPr>
          <w:rFonts w:hint="eastAsia" w:ascii="仿宋" w:hAnsi="仿宋" w:eastAsia="仿宋" w:cs="仿宋"/>
          <w:color w:val="000000"/>
          <w:kern w:val="0"/>
          <w:sz w:val="24"/>
          <w:szCs w:val="24"/>
          <w:highlight w:val="none"/>
        </w:rPr>
        <w:t>员工</w:t>
      </w:r>
      <w:r>
        <w:rPr>
          <w:rFonts w:hint="eastAsia" w:ascii="仿宋" w:hAnsi="仿宋" w:eastAsia="仿宋" w:cs="仿宋"/>
          <w:sz w:val="24"/>
          <w:szCs w:val="24"/>
          <w:highlight w:val="none"/>
        </w:rPr>
        <w:t>□</w:t>
      </w:r>
      <w:r>
        <w:rPr>
          <w:rFonts w:hint="eastAsia" w:ascii="仿宋" w:hAnsi="仿宋" w:eastAsia="仿宋" w:cs="仿宋"/>
          <w:color w:val="000000"/>
          <w:kern w:val="0"/>
          <w:sz w:val="24"/>
          <w:szCs w:val="24"/>
          <w:highlight w:val="none"/>
        </w:rPr>
        <w:t>政府</w:t>
      </w:r>
      <w:r>
        <w:rPr>
          <w:rFonts w:hint="eastAsia" w:ascii="仿宋" w:hAnsi="仿宋" w:eastAsia="仿宋" w:cs="仿宋"/>
          <w:sz w:val="24"/>
          <w:szCs w:val="24"/>
          <w:highlight w:val="none"/>
        </w:rPr>
        <w:t>□</w:t>
      </w:r>
      <w:r>
        <w:rPr>
          <w:rFonts w:hint="eastAsia" w:ascii="仿宋" w:hAnsi="仿宋" w:eastAsia="仿宋" w:cs="仿宋"/>
          <w:color w:val="000000"/>
          <w:kern w:val="0"/>
          <w:sz w:val="24"/>
          <w:szCs w:val="24"/>
          <w:highlight w:val="none"/>
        </w:rPr>
        <w:t>监管机构</w:t>
      </w:r>
    </w:p>
    <w:p w14:paraId="31F0D88C">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ascii="仿宋" w:hAnsi="仿宋" w:eastAsia="仿宋" w:cs="仿宋"/>
          <w:sz w:val="24"/>
          <w:szCs w:val="24"/>
          <w:highlight w:val="none"/>
        </w:rPr>
      </w:pPr>
      <w:r>
        <w:rPr>
          <w:rFonts w:hint="eastAsia" w:ascii="仿宋" w:hAnsi="仿宋" w:eastAsia="仿宋" w:cs="仿宋"/>
          <w:sz w:val="24"/>
          <w:szCs w:val="24"/>
          <w:highlight w:val="none"/>
        </w:rPr>
        <w:t>□</w:t>
      </w:r>
      <w:r>
        <w:rPr>
          <w:rFonts w:hint="eastAsia" w:ascii="仿宋" w:hAnsi="仿宋" w:eastAsia="仿宋" w:cs="仿宋"/>
          <w:color w:val="000000"/>
          <w:kern w:val="0"/>
          <w:sz w:val="24"/>
          <w:szCs w:val="24"/>
          <w:highlight w:val="none"/>
        </w:rPr>
        <w:t>供应商与合作伙伴</w:t>
      </w:r>
      <w:r>
        <w:rPr>
          <w:rFonts w:hint="eastAsia" w:ascii="仿宋" w:hAnsi="仿宋" w:eastAsia="仿宋" w:cs="仿宋"/>
          <w:sz w:val="24"/>
          <w:szCs w:val="24"/>
          <w:highlight w:val="none"/>
        </w:rPr>
        <w:t>□</w:t>
      </w:r>
      <w:r>
        <w:rPr>
          <w:rFonts w:hint="eastAsia" w:ascii="仿宋" w:hAnsi="仿宋" w:eastAsia="仿宋" w:cs="仿宋"/>
          <w:color w:val="000000"/>
          <w:kern w:val="0"/>
          <w:sz w:val="24"/>
          <w:szCs w:val="24"/>
          <w:highlight w:val="none"/>
        </w:rPr>
        <w:t>社区</w:t>
      </w:r>
      <w:r>
        <w:rPr>
          <w:rFonts w:hint="eastAsia" w:ascii="仿宋" w:hAnsi="仿宋" w:eastAsia="仿宋" w:cs="仿宋"/>
          <w:sz w:val="24"/>
          <w:szCs w:val="24"/>
          <w:highlight w:val="none"/>
        </w:rPr>
        <w:t>□</w:t>
      </w:r>
      <w:r>
        <w:rPr>
          <w:rFonts w:hint="eastAsia" w:ascii="仿宋" w:hAnsi="仿宋" w:eastAsia="仿宋" w:cs="仿宋"/>
          <w:color w:val="000000"/>
          <w:kern w:val="0"/>
          <w:sz w:val="24"/>
          <w:szCs w:val="24"/>
          <w:highlight w:val="none"/>
        </w:rPr>
        <w:t>公众与媒体</w:t>
      </w:r>
      <w:r>
        <w:rPr>
          <w:rFonts w:hint="eastAsia" w:ascii="仿宋" w:hAnsi="仿宋" w:eastAsia="仿宋" w:cs="仿宋"/>
          <w:sz w:val="24"/>
          <w:szCs w:val="24"/>
          <w:highlight w:val="none"/>
        </w:rPr>
        <w:t>□</w:t>
      </w:r>
      <w:r>
        <w:rPr>
          <w:rFonts w:hint="eastAsia" w:ascii="仿宋" w:hAnsi="仿宋" w:eastAsia="仿宋" w:cs="仿宋"/>
          <w:color w:val="000000"/>
          <w:kern w:val="0"/>
          <w:sz w:val="24"/>
          <w:szCs w:val="24"/>
          <w:highlight w:val="none"/>
        </w:rPr>
        <w:t>其他</w:t>
      </w:r>
    </w:p>
    <w:p w14:paraId="5F7C4EB1">
      <w:pPr>
        <w:keepNext w:val="0"/>
        <w:keepLines w:val="0"/>
        <w:pageBreakBefore w:val="0"/>
        <w:widowControl w:val="0"/>
        <w:numPr>
          <w:ilvl w:val="0"/>
          <w:numId w:val="4"/>
        </w:numPr>
        <w:kinsoku/>
        <w:wordWrap/>
        <w:overflowPunct/>
        <w:topLinePunct w:val="0"/>
        <w:autoSpaceDE/>
        <w:autoSpaceDN/>
        <w:bidi w:val="0"/>
        <w:adjustRightInd/>
        <w:snapToGrid/>
        <w:spacing w:line="600" w:lineRule="exact"/>
        <w:ind w:left="0" w:firstLine="480" w:firstLineChars="200"/>
        <w:textAlignment w:val="auto"/>
        <w:rPr>
          <w:rFonts w:ascii="仿宋" w:hAnsi="仿宋" w:eastAsia="仿宋" w:cs="仿宋"/>
          <w:sz w:val="24"/>
          <w:szCs w:val="24"/>
          <w:highlight w:val="none"/>
        </w:rPr>
      </w:pPr>
      <w:r>
        <w:rPr>
          <w:rFonts w:hint="eastAsia" w:ascii="仿宋" w:hAnsi="仿宋" w:eastAsia="仿宋" w:cs="仿宋"/>
          <w:sz w:val="24"/>
          <w:szCs w:val="24"/>
          <w:highlight w:val="none"/>
        </w:rPr>
        <w:t>您对本行企业社会责任报告的总体评价：</w:t>
      </w:r>
    </w:p>
    <w:p w14:paraId="030D7394">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ascii="仿宋" w:hAnsi="仿宋" w:eastAsia="仿宋" w:cs="仿宋"/>
          <w:sz w:val="24"/>
          <w:szCs w:val="24"/>
          <w:highlight w:val="none"/>
        </w:rPr>
      </w:pPr>
      <w:r>
        <w:rPr>
          <w:rFonts w:hint="eastAsia" w:ascii="仿宋" w:hAnsi="仿宋" w:eastAsia="仿宋" w:cs="仿宋"/>
          <w:sz w:val="24"/>
          <w:szCs w:val="24"/>
          <w:highlight w:val="none"/>
        </w:rPr>
        <w:t>□好□较好□一般□较不好□不好</w:t>
      </w:r>
    </w:p>
    <w:p w14:paraId="4AC29C87">
      <w:pPr>
        <w:keepNext w:val="0"/>
        <w:keepLines w:val="0"/>
        <w:pageBreakBefore w:val="0"/>
        <w:widowControl w:val="0"/>
        <w:numPr>
          <w:ilvl w:val="0"/>
          <w:numId w:val="4"/>
        </w:numPr>
        <w:kinsoku/>
        <w:wordWrap/>
        <w:overflowPunct/>
        <w:topLinePunct w:val="0"/>
        <w:autoSpaceDE/>
        <w:autoSpaceDN/>
        <w:bidi w:val="0"/>
        <w:adjustRightInd/>
        <w:snapToGrid/>
        <w:spacing w:line="600" w:lineRule="exact"/>
        <w:ind w:left="0" w:firstLine="480" w:firstLineChars="200"/>
        <w:textAlignment w:val="auto"/>
        <w:rPr>
          <w:rFonts w:ascii="仿宋" w:hAnsi="仿宋" w:eastAsia="仿宋" w:cs="仿宋"/>
          <w:sz w:val="24"/>
          <w:szCs w:val="24"/>
          <w:highlight w:val="none"/>
        </w:rPr>
      </w:pPr>
      <w:r>
        <w:rPr>
          <w:rFonts w:hint="eastAsia" w:ascii="仿宋" w:hAnsi="仿宋" w:eastAsia="仿宋" w:cs="仿宋"/>
          <w:sz w:val="24"/>
          <w:szCs w:val="24"/>
          <w:highlight w:val="none"/>
        </w:rPr>
        <w:t>您对本行履行经济、社会、环境责任的评价：</w:t>
      </w:r>
    </w:p>
    <w:p w14:paraId="6D3E2BA3">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ascii="仿宋" w:hAnsi="仿宋" w:eastAsia="仿宋" w:cs="仿宋"/>
          <w:sz w:val="24"/>
          <w:szCs w:val="24"/>
          <w:highlight w:val="none"/>
        </w:rPr>
      </w:pPr>
      <w:r>
        <w:rPr>
          <w:rFonts w:hint="eastAsia" w:ascii="仿宋" w:hAnsi="仿宋" w:eastAsia="仿宋" w:cs="仿宋"/>
          <w:sz w:val="24"/>
          <w:szCs w:val="24"/>
          <w:highlight w:val="none"/>
        </w:rPr>
        <w:t>经济责任：□好□较好□一般□较不好□不好</w:t>
      </w:r>
    </w:p>
    <w:p w14:paraId="13EAED01">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ascii="仿宋" w:hAnsi="仿宋" w:eastAsia="仿宋" w:cs="仿宋"/>
          <w:sz w:val="24"/>
          <w:szCs w:val="24"/>
          <w:highlight w:val="none"/>
        </w:rPr>
      </w:pPr>
      <w:r>
        <w:rPr>
          <w:rFonts w:hint="eastAsia" w:ascii="仿宋" w:hAnsi="仿宋" w:eastAsia="仿宋" w:cs="仿宋"/>
          <w:sz w:val="24"/>
          <w:szCs w:val="24"/>
          <w:highlight w:val="none"/>
        </w:rPr>
        <w:t>社会责任：□好□较好□一般□较不好□不好</w:t>
      </w:r>
    </w:p>
    <w:p w14:paraId="2CDA5EF1">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ascii="仿宋" w:hAnsi="仿宋" w:eastAsia="仿宋" w:cs="仿宋"/>
          <w:sz w:val="24"/>
          <w:szCs w:val="24"/>
          <w:highlight w:val="none"/>
        </w:rPr>
      </w:pPr>
      <w:r>
        <w:rPr>
          <w:rFonts w:hint="eastAsia" w:ascii="仿宋" w:hAnsi="仿宋" w:eastAsia="仿宋" w:cs="仿宋"/>
          <w:sz w:val="24"/>
          <w:szCs w:val="24"/>
          <w:highlight w:val="none"/>
        </w:rPr>
        <w:t>环境责任：□好□较好□一般□较不好□不好</w:t>
      </w:r>
    </w:p>
    <w:p w14:paraId="288B8EA6">
      <w:pPr>
        <w:keepNext w:val="0"/>
        <w:keepLines w:val="0"/>
        <w:pageBreakBefore w:val="0"/>
        <w:widowControl w:val="0"/>
        <w:numPr>
          <w:ilvl w:val="0"/>
          <w:numId w:val="4"/>
        </w:numPr>
        <w:kinsoku/>
        <w:wordWrap/>
        <w:overflowPunct/>
        <w:topLinePunct w:val="0"/>
        <w:autoSpaceDE/>
        <w:autoSpaceDN/>
        <w:bidi w:val="0"/>
        <w:adjustRightInd/>
        <w:snapToGrid/>
        <w:spacing w:line="600" w:lineRule="exact"/>
        <w:ind w:left="0" w:firstLine="480" w:firstLineChars="200"/>
        <w:textAlignment w:val="auto"/>
        <w:rPr>
          <w:rFonts w:ascii="仿宋" w:hAnsi="仿宋" w:eastAsia="仿宋" w:cs="仿宋"/>
          <w:sz w:val="24"/>
          <w:szCs w:val="24"/>
          <w:highlight w:val="none"/>
        </w:rPr>
      </w:pPr>
      <w:r>
        <w:rPr>
          <w:rFonts w:hint="eastAsia" w:ascii="仿宋" w:hAnsi="仿宋" w:eastAsia="仿宋" w:cs="仿宋"/>
          <w:sz w:val="24"/>
          <w:szCs w:val="24"/>
          <w:highlight w:val="none"/>
        </w:rPr>
        <w:t>您认为本报告能否反映本行的社会责任实践对经济、社会、环境的影响？</w:t>
      </w:r>
    </w:p>
    <w:p w14:paraId="41B76DFA">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ascii="仿宋" w:hAnsi="仿宋" w:eastAsia="仿宋" w:cs="仿宋"/>
          <w:sz w:val="24"/>
          <w:szCs w:val="24"/>
          <w:highlight w:val="none"/>
        </w:rPr>
      </w:pPr>
      <w:r>
        <w:rPr>
          <w:rFonts w:hint="eastAsia" w:ascii="仿宋" w:hAnsi="仿宋" w:eastAsia="仿宋" w:cs="仿宋"/>
          <w:sz w:val="24"/>
          <w:szCs w:val="24"/>
          <w:highlight w:val="none"/>
        </w:rPr>
        <w:t>□能很好反映□能较好反映□能一般反映□不太能反映□不能反映</w:t>
      </w:r>
    </w:p>
    <w:p w14:paraId="4DCDCBB2">
      <w:pPr>
        <w:keepNext w:val="0"/>
        <w:keepLines w:val="0"/>
        <w:pageBreakBefore w:val="0"/>
        <w:widowControl w:val="0"/>
        <w:numPr>
          <w:ilvl w:val="0"/>
          <w:numId w:val="4"/>
        </w:numPr>
        <w:kinsoku/>
        <w:wordWrap/>
        <w:overflowPunct/>
        <w:topLinePunct w:val="0"/>
        <w:autoSpaceDE/>
        <w:autoSpaceDN/>
        <w:bidi w:val="0"/>
        <w:adjustRightInd/>
        <w:snapToGrid/>
        <w:spacing w:line="600" w:lineRule="exact"/>
        <w:ind w:left="0" w:firstLine="480" w:firstLineChars="200"/>
        <w:textAlignment w:val="auto"/>
        <w:rPr>
          <w:rFonts w:ascii="仿宋" w:hAnsi="仿宋" w:eastAsia="仿宋" w:cs="仿宋"/>
          <w:sz w:val="24"/>
          <w:szCs w:val="24"/>
          <w:highlight w:val="none"/>
        </w:rPr>
      </w:pPr>
      <w:r>
        <w:rPr>
          <w:rFonts w:hint="eastAsia" w:ascii="仿宋" w:hAnsi="仿宋" w:eastAsia="仿宋" w:cs="仿宋"/>
          <w:sz w:val="24"/>
          <w:szCs w:val="24"/>
          <w:highlight w:val="none"/>
        </w:rPr>
        <w:t>您认为本报告披露的信息、数据、指标的清晰度、准确度和完整性如何？</w:t>
      </w:r>
    </w:p>
    <w:p w14:paraId="7AB05E82">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ascii="仿宋" w:hAnsi="仿宋" w:eastAsia="仿宋" w:cs="仿宋"/>
          <w:sz w:val="24"/>
          <w:szCs w:val="24"/>
          <w:highlight w:val="none"/>
        </w:rPr>
      </w:pPr>
      <w:r>
        <w:rPr>
          <w:rFonts w:hint="eastAsia" w:ascii="仿宋" w:hAnsi="仿宋" w:eastAsia="仿宋" w:cs="仿宋"/>
          <w:sz w:val="24"/>
          <w:szCs w:val="24"/>
          <w:highlight w:val="none"/>
        </w:rPr>
        <w:t>清晰度：□好□较好□一般□较不好□不好</w:t>
      </w:r>
    </w:p>
    <w:p w14:paraId="63B7CCD7">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ascii="仿宋" w:hAnsi="仿宋" w:eastAsia="仿宋" w:cs="仿宋"/>
          <w:sz w:val="24"/>
          <w:szCs w:val="24"/>
          <w:highlight w:val="none"/>
        </w:rPr>
      </w:pPr>
      <w:r>
        <w:rPr>
          <w:rFonts w:hint="eastAsia" w:ascii="仿宋" w:hAnsi="仿宋" w:eastAsia="仿宋" w:cs="仿宋"/>
          <w:sz w:val="24"/>
          <w:szCs w:val="24"/>
          <w:highlight w:val="none"/>
        </w:rPr>
        <w:t>准确度：□好□较好□一般□较不好□不好</w:t>
      </w:r>
    </w:p>
    <w:p w14:paraId="3DE6DC0D">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ascii="仿宋" w:hAnsi="仿宋" w:eastAsia="仿宋" w:cs="仿宋"/>
          <w:sz w:val="24"/>
          <w:szCs w:val="24"/>
          <w:highlight w:val="none"/>
        </w:rPr>
      </w:pPr>
      <w:r>
        <w:rPr>
          <w:rFonts w:hint="eastAsia" w:ascii="仿宋" w:hAnsi="仿宋" w:eastAsia="仿宋" w:cs="仿宋"/>
          <w:sz w:val="24"/>
          <w:szCs w:val="24"/>
          <w:highlight w:val="none"/>
        </w:rPr>
        <w:t>完整性：□好□较好□一般□较不好□不好</w:t>
      </w:r>
    </w:p>
    <w:p w14:paraId="20C517B0">
      <w:pPr>
        <w:keepNext w:val="0"/>
        <w:keepLines w:val="0"/>
        <w:pageBreakBefore w:val="0"/>
        <w:widowControl w:val="0"/>
        <w:numPr>
          <w:ilvl w:val="0"/>
          <w:numId w:val="4"/>
        </w:numPr>
        <w:kinsoku/>
        <w:wordWrap/>
        <w:overflowPunct/>
        <w:topLinePunct w:val="0"/>
        <w:autoSpaceDE/>
        <w:autoSpaceDN/>
        <w:bidi w:val="0"/>
        <w:adjustRightInd/>
        <w:snapToGrid/>
        <w:spacing w:line="600" w:lineRule="exact"/>
        <w:ind w:left="0" w:firstLine="480" w:firstLineChars="200"/>
        <w:textAlignment w:val="auto"/>
        <w:rPr>
          <w:rFonts w:ascii="仿宋" w:hAnsi="仿宋" w:eastAsia="仿宋" w:cs="仿宋"/>
          <w:sz w:val="24"/>
          <w:szCs w:val="24"/>
          <w:highlight w:val="none"/>
        </w:rPr>
      </w:pPr>
      <w:r>
        <w:rPr>
          <w:rFonts w:hint="eastAsia" w:ascii="仿宋" w:hAnsi="仿宋" w:eastAsia="仿宋" w:cs="仿宋"/>
          <w:sz w:val="24"/>
          <w:szCs w:val="24"/>
          <w:highlight w:val="none"/>
        </w:rPr>
        <w:t>您认为本报告的内容安排和版式设计是否方便阅读？</w:t>
      </w:r>
    </w:p>
    <w:p w14:paraId="118D7F23">
      <w:pPr>
        <w:keepNext w:val="0"/>
        <w:keepLines w:val="0"/>
        <w:pageBreakBefore w:val="0"/>
        <w:widowControl w:val="0"/>
        <w:kinsoku/>
        <w:wordWrap/>
        <w:overflowPunct/>
        <w:topLinePunct w:val="0"/>
        <w:autoSpaceDE/>
        <w:autoSpaceDN/>
        <w:bidi w:val="0"/>
        <w:adjustRightInd/>
        <w:snapToGrid/>
        <w:spacing w:line="600" w:lineRule="exact"/>
        <w:ind w:firstLine="480" w:firstLineChars="200"/>
        <w:jc w:val="left"/>
        <w:textAlignment w:val="auto"/>
        <w:rPr>
          <w:rFonts w:ascii="仿宋" w:hAnsi="仿宋" w:eastAsia="仿宋" w:cs="仿宋"/>
          <w:sz w:val="24"/>
          <w:szCs w:val="24"/>
          <w:highlight w:val="none"/>
        </w:rPr>
      </w:pPr>
      <w:r>
        <w:rPr>
          <w:rFonts w:hint="eastAsia" w:ascii="仿宋" w:hAnsi="仿宋" w:eastAsia="仿宋" w:cs="仿宋"/>
          <w:sz w:val="24"/>
          <w:szCs w:val="24"/>
          <w:highlight w:val="none"/>
        </w:rPr>
        <w:t>□是□一般□否</w:t>
      </w:r>
    </w:p>
    <w:p w14:paraId="75AB1967">
      <w:pPr>
        <w:keepNext w:val="0"/>
        <w:keepLines w:val="0"/>
        <w:pageBreakBefore w:val="0"/>
        <w:widowControl w:val="0"/>
        <w:numPr>
          <w:ilvl w:val="0"/>
          <w:numId w:val="4"/>
        </w:numPr>
        <w:kinsoku/>
        <w:wordWrap/>
        <w:overflowPunct/>
        <w:topLinePunct w:val="0"/>
        <w:autoSpaceDE/>
        <w:autoSpaceDN/>
        <w:bidi w:val="0"/>
        <w:adjustRightInd/>
        <w:snapToGrid/>
        <w:spacing w:line="600" w:lineRule="exact"/>
        <w:ind w:left="0" w:firstLine="480" w:firstLineChars="200"/>
        <w:textAlignment w:val="auto"/>
        <w:rPr>
          <w:rFonts w:ascii="仿宋" w:hAnsi="仿宋" w:eastAsia="仿宋" w:cs="仿宋"/>
          <w:sz w:val="24"/>
          <w:szCs w:val="24"/>
          <w:highlight w:val="none"/>
        </w:rPr>
      </w:pPr>
      <w:r>
        <w:rPr>
          <w:rFonts w:hint="eastAsia" w:ascii="仿宋" w:hAnsi="仿宋" w:eastAsia="仿宋" w:cs="仿宋"/>
          <w:sz w:val="24"/>
          <w:szCs w:val="24"/>
          <w:highlight w:val="none"/>
        </w:rPr>
        <w:t>您对本行企业社会责任工作和本报告的其他意见和建议。</w:t>
      </w:r>
    </w:p>
    <w:p w14:paraId="1726C78E">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 w:hAnsi="仿宋" w:eastAsia="仿宋" w:cs="仿宋"/>
          <w:b/>
          <w:bCs/>
          <w:sz w:val="32"/>
          <w:szCs w:val="32"/>
          <w:highlight w:val="none"/>
          <w:lang w:val="en-US" w:eastAsia="zh-CN"/>
        </w:rPr>
      </w:pPr>
    </w:p>
    <w:sectPr>
      <w:footerReference r:id="rId3" w:type="default"/>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楷体">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auto"/>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7A1F66">
    <w:pPr>
      <w:pStyle w:val="8"/>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97568CF">
                          <w:pPr>
                            <w:pStyle w:val="8"/>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497568CF">
                    <w:pPr>
                      <w:pStyle w:val="8"/>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62D4B81"/>
    <w:multiLevelType w:val="singleLevel"/>
    <w:tmpl w:val="962D4B81"/>
    <w:lvl w:ilvl="0" w:tentative="0">
      <w:start w:val="1"/>
      <w:numFmt w:val="decimal"/>
      <w:suff w:val="nothing"/>
      <w:lvlText w:val="%1、"/>
      <w:lvlJc w:val="left"/>
    </w:lvl>
  </w:abstractNum>
  <w:abstractNum w:abstractNumId="1">
    <w:nsid w:val="AC785A1F"/>
    <w:multiLevelType w:val="singleLevel"/>
    <w:tmpl w:val="AC785A1F"/>
    <w:lvl w:ilvl="0" w:tentative="0">
      <w:start w:val="1"/>
      <w:numFmt w:val="decimal"/>
      <w:suff w:val="nothing"/>
      <w:lvlText w:val="%1、"/>
      <w:lvlJc w:val="left"/>
      <w:pPr>
        <w:ind w:left="630"/>
      </w:pPr>
    </w:lvl>
  </w:abstractNum>
  <w:abstractNum w:abstractNumId="2">
    <w:nsid w:val="1273463E"/>
    <w:multiLevelType w:val="singleLevel"/>
    <w:tmpl w:val="1273463E"/>
    <w:lvl w:ilvl="0" w:tentative="0">
      <w:start w:val="1"/>
      <w:numFmt w:val="decimal"/>
      <w:lvlText w:val="%1."/>
      <w:lvlJc w:val="left"/>
      <w:pPr>
        <w:ind w:left="425" w:hanging="425"/>
      </w:pPr>
      <w:rPr>
        <w:rFonts w:hint="default"/>
      </w:rPr>
    </w:lvl>
  </w:abstractNum>
  <w:abstractNum w:abstractNumId="3">
    <w:nsid w:val="7637BC85"/>
    <w:multiLevelType w:val="singleLevel"/>
    <w:tmpl w:val="7637BC85"/>
    <w:lvl w:ilvl="0" w:tentative="0">
      <w:start w:val="1"/>
      <w:numFmt w:val="chineseCounting"/>
      <w:suff w:val="nothing"/>
      <w:lvlText w:val="（%1）"/>
      <w:lvlJc w:val="left"/>
      <w:rPr>
        <w:rFonts w:hint="eastAsia"/>
      </w:r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mEyN2RhYzUyZjg3ZDZlYjgzZTkyZTUxZmZmOTUxMTgifQ=="/>
  </w:docVars>
  <w:rsids>
    <w:rsidRoot w:val="77DA6B38"/>
    <w:rsid w:val="00C93487"/>
    <w:rsid w:val="02477DC9"/>
    <w:rsid w:val="025D70DB"/>
    <w:rsid w:val="02780DAF"/>
    <w:rsid w:val="028B5457"/>
    <w:rsid w:val="02A8425B"/>
    <w:rsid w:val="038140E6"/>
    <w:rsid w:val="03B74A47"/>
    <w:rsid w:val="0491773B"/>
    <w:rsid w:val="04B05649"/>
    <w:rsid w:val="05AD1B88"/>
    <w:rsid w:val="063060E4"/>
    <w:rsid w:val="06A869C9"/>
    <w:rsid w:val="075F088B"/>
    <w:rsid w:val="076B00D8"/>
    <w:rsid w:val="08950206"/>
    <w:rsid w:val="08BC192A"/>
    <w:rsid w:val="08BC274C"/>
    <w:rsid w:val="08E4719F"/>
    <w:rsid w:val="08E628C0"/>
    <w:rsid w:val="0981197F"/>
    <w:rsid w:val="0A4B4A5A"/>
    <w:rsid w:val="0C576EBD"/>
    <w:rsid w:val="0C6641B3"/>
    <w:rsid w:val="0CDA596F"/>
    <w:rsid w:val="0DA150F5"/>
    <w:rsid w:val="0DBC7A38"/>
    <w:rsid w:val="0E8125A6"/>
    <w:rsid w:val="0FD948D4"/>
    <w:rsid w:val="10D91A83"/>
    <w:rsid w:val="112B3D0E"/>
    <w:rsid w:val="11605955"/>
    <w:rsid w:val="117C03B4"/>
    <w:rsid w:val="119F02CA"/>
    <w:rsid w:val="11BC387F"/>
    <w:rsid w:val="12525F91"/>
    <w:rsid w:val="12AB4C4B"/>
    <w:rsid w:val="12D51297"/>
    <w:rsid w:val="12EC00D1"/>
    <w:rsid w:val="136E6FD9"/>
    <w:rsid w:val="137D703E"/>
    <w:rsid w:val="13C01A62"/>
    <w:rsid w:val="13DC1813"/>
    <w:rsid w:val="141507E6"/>
    <w:rsid w:val="155B109F"/>
    <w:rsid w:val="18495F04"/>
    <w:rsid w:val="192E12E2"/>
    <w:rsid w:val="1AAA47A9"/>
    <w:rsid w:val="1C627A48"/>
    <w:rsid w:val="1D232A04"/>
    <w:rsid w:val="1DFF5500"/>
    <w:rsid w:val="1E4A0E15"/>
    <w:rsid w:val="1E892D3B"/>
    <w:rsid w:val="214D4DCD"/>
    <w:rsid w:val="21CD31E7"/>
    <w:rsid w:val="22124DF5"/>
    <w:rsid w:val="227E462E"/>
    <w:rsid w:val="23495B78"/>
    <w:rsid w:val="236B2A0F"/>
    <w:rsid w:val="238C1FCF"/>
    <w:rsid w:val="24D171E9"/>
    <w:rsid w:val="24E46F1D"/>
    <w:rsid w:val="24F31430"/>
    <w:rsid w:val="281F026C"/>
    <w:rsid w:val="28214987"/>
    <w:rsid w:val="288F31DA"/>
    <w:rsid w:val="28C12E2E"/>
    <w:rsid w:val="28E4047F"/>
    <w:rsid w:val="29A56B05"/>
    <w:rsid w:val="2B591C7B"/>
    <w:rsid w:val="2BA016C4"/>
    <w:rsid w:val="2BD54077"/>
    <w:rsid w:val="2C7B1863"/>
    <w:rsid w:val="2D6460B5"/>
    <w:rsid w:val="2DFA1814"/>
    <w:rsid w:val="2E18054D"/>
    <w:rsid w:val="2E817976"/>
    <w:rsid w:val="2F844887"/>
    <w:rsid w:val="2FCD0DAF"/>
    <w:rsid w:val="2FE34275"/>
    <w:rsid w:val="2FF7282B"/>
    <w:rsid w:val="32536D08"/>
    <w:rsid w:val="33165D4B"/>
    <w:rsid w:val="331F55C4"/>
    <w:rsid w:val="332C7427"/>
    <w:rsid w:val="33656452"/>
    <w:rsid w:val="342A2472"/>
    <w:rsid w:val="35DA3258"/>
    <w:rsid w:val="3689287F"/>
    <w:rsid w:val="369C408E"/>
    <w:rsid w:val="37D9110E"/>
    <w:rsid w:val="39D66BBF"/>
    <w:rsid w:val="3A09490F"/>
    <w:rsid w:val="3A6958A3"/>
    <w:rsid w:val="3AB7596B"/>
    <w:rsid w:val="3B253993"/>
    <w:rsid w:val="3B3E6B85"/>
    <w:rsid w:val="3B482BC5"/>
    <w:rsid w:val="3B697D24"/>
    <w:rsid w:val="3B8276CC"/>
    <w:rsid w:val="3D12023E"/>
    <w:rsid w:val="3D4B079E"/>
    <w:rsid w:val="3E2A53AD"/>
    <w:rsid w:val="3E8A00D3"/>
    <w:rsid w:val="3F0F2E98"/>
    <w:rsid w:val="404B30D4"/>
    <w:rsid w:val="40C15F0C"/>
    <w:rsid w:val="419D24D5"/>
    <w:rsid w:val="42CF6B2E"/>
    <w:rsid w:val="43530CFB"/>
    <w:rsid w:val="446E5227"/>
    <w:rsid w:val="44780FD8"/>
    <w:rsid w:val="449D6F5F"/>
    <w:rsid w:val="45B1654F"/>
    <w:rsid w:val="45DD5596"/>
    <w:rsid w:val="47555600"/>
    <w:rsid w:val="478D5FA1"/>
    <w:rsid w:val="47D26D73"/>
    <w:rsid w:val="4B3B782D"/>
    <w:rsid w:val="4BBF6E8E"/>
    <w:rsid w:val="4C412C05"/>
    <w:rsid w:val="4D634455"/>
    <w:rsid w:val="4DD93E25"/>
    <w:rsid w:val="4E2062A6"/>
    <w:rsid w:val="4E7F035C"/>
    <w:rsid w:val="4EF42C0A"/>
    <w:rsid w:val="4F295208"/>
    <w:rsid w:val="4F332132"/>
    <w:rsid w:val="4F4D7371"/>
    <w:rsid w:val="50035CAD"/>
    <w:rsid w:val="50A324ED"/>
    <w:rsid w:val="511E4CB5"/>
    <w:rsid w:val="512F09A7"/>
    <w:rsid w:val="51580123"/>
    <w:rsid w:val="51730B5D"/>
    <w:rsid w:val="5242391E"/>
    <w:rsid w:val="530B4BE6"/>
    <w:rsid w:val="539F20DD"/>
    <w:rsid w:val="53C44F0B"/>
    <w:rsid w:val="545A4345"/>
    <w:rsid w:val="55262462"/>
    <w:rsid w:val="55BD1AD2"/>
    <w:rsid w:val="55F618C3"/>
    <w:rsid w:val="56412F15"/>
    <w:rsid w:val="564156CE"/>
    <w:rsid w:val="58494D38"/>
    <w:rsid w:val="586E65B3"/>
    <w:rsid w:val="5A0C7465"/>
    <w:rsid w:val="5A2F1CE1"/>
    <w:rsid w:val="5A593714"/>
    <w:rsid w:val="5A923736"/>
    <w:rsid w:val="5AD32A01"/>
    <w:rsid w:val="5B1E5FDD"/>
    <w:rsid w:val="5B5D13B6"/>
    <w:rsid w:val="5BC72B44"/>
    <w:rsid w:val="5C54327E"/>
    <w:rsid w:val="5D1219A6"/>
    <w:rsid w:val="5DAA1DAA"/>
    <w:rsid w:val="5DF96327"/>
    <w:rsid w:val="5E2B52D1"/>
    <w:rsid w:val="5E557BF5"/>
    <w:rsid w:val="5F700DD2"/>
    <w:rsid w:val="6105474D"/>
    <w:rsid w:val="61995982"/>
    <w:rsid w:val="6363219D"/>
    <w:rsid w:val="63DF02D4"/>
    <w:rsid w:val="64634E99"/>
    <w:rsid w:val="64A81EDD"/>
    <w:rsid w:val="66753D0D"/>
    <w:rsid w:val="66CD6B09"/>
    <w:rsid w:val="66F71606"/>
    <w:rsid w:val="67A73256"/>
    <w:rsid w:val="68322B70"/>
    <w:rsid w:val="686E676C"/>
    <w:rsid w:val="68E8091E"/>
    <w:rsid w:val="68EF15AA"/>
    <w:rsid w:val="69A16071"/>
    <w:rsid w:val="6A2F09B2"/>
    <w:rsid w:val="6AC1406F"/>
    <w:rsid w:val="6B7D55FD"/>
    <w:rsid w:val="6B9E6F39"/>
    <w:rsid w:val="6CDC7B3A"/>
    <w:rsid w:val="6D067D2C"/>
    <w:rsid w:val="6D620092"/>
    <w:rsid w:val="6E6F44A0"/>
    <w:rsid w:val="6EE61184"/>
    <w:rsid w:val="6EFA1B04"/>
    <w:rsid w:val="6FDB1138"/>
    <w:rsid w:val="70566D8E"/>
    <w:rsid w:val="707B2CDA"/>
    <w:rsid w:val="71AC3484"/>
    <w:rsid w:val="72AD6F16"/>
    <w:rsid w:val="732842AF"/>
    <w:rsid w:val="743957DE"/>
    <w:rsid w:val="74593A05"/>
    <w:rsid w:val="74F774FB"/>
    <w:rsid w:val="767174B1"/>
    <w:rsid w:val="76DB783A"/>
    <w:rsid w:val="76E16814"/>
    <w:rsid w:val="77364334"/>
    <w:rsid w:val="78517BBF"/>
    <w:rsid w:val="7892370F"/>
    <w:rsid w:val="7B645F60"/>
    <w:rsid w:val="7C15091C"/>
    <w:rsid w:val="7C29438A"/>
    <w:rsid w:val="7DFB1FCC"/>
    <w:rsid w:val="7E905F9E"/>
    <w:rsid w:val="7EB947D4"/>
    <w:rsid w:val="7F8953B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iPriority="0" w:semiHidden="0" w:name="heading 2"/>
    <w:lsdException w:qFormat="1" w:uiPriority="0" w:name="heading 3"/>
    <w:lsdException w:qFormat="1" w:uiPriority="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99"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autoRedefine/>
    <w:qFormat/>
    <w:uiPriority w:val="1"/>
    <w:pPr>
      <w:ind w:left="867"/>
      <w:outlineLvl w:val="1"/>
    </w:pPr>
    <w:rPr>
      <w:rFonts w:ascii="楷体" w:hAnsi="楷体" w:eastAsia="楷体" w:cs="楷体"/>
      <w:b/>
      <w:bCs/>
      <w:sz w:val="32"/>
      <w:szCs w:val="32"/>
      <w:lang w:val="zh-CN" w:eastAsia="zh-CN" w:bidi="zh-CN"/>
    </w:rPr>
  </w:style>
  <w:style w:type="paragraph" w:styleId="3">
    <w:name w:val="heading 2"/>
    <w:basedOn w:val="1"/>
    <w:next w:val="1"/>
    <w:autoRedefine/>
    <w:unhideWhenUsed/>
    <w:qFormat/>
    <w:uiPriority w:val="0"/>
    <w:pPr>
      <w:keepNext/>
      <w:keepLines/>
      <w:spacing w:before="260" w:beforeLines="0" w:after="260" w:afterLines="0" w:line="416" w:lineRule="auto"/>
      <w:outlineLvl w:val="1"/>
    </w:pPr>
    <w:rPr>
      <w:rFonts w:ascii="Cambria" w:hAnsi="Cambria"/>
      <w:b/>
      <w:bCs/>
      <w:kern w:val="2"/>
      <w:sz w:val="32"/>
      <w:szCs w:val="32"/>
    </w:rPr>
  </w:style>
  <w:style w:type="paragraph" w:styleId="4">
    <w:name w:val="heading 4"/>
    <w:basedOn w:val="1"/>
    <w:next w:val="1"/>
    <w:autoRedefine/>
    <w:unhideWhenUsed/>
    <w:qFormat/>
    <w:uiPriority w:val="9"/>
    <w:pPr>
      <w:keepNext/>
      <w:keepLines/>
      <w:spacing w:before="280" w:after="290" w:line="376" w:lineRule="auto"/>
      <w:outlineLvl w:val="3"/>
    </w:pPr>
    <w:rPr>
      <w:rFonts w:ascii="Cambria" w:hAnsi="Cambria" w:eastAsia="宋体" w:cs="Times New Roman"/>
      <w:b/>
      <w:bCs/>
      <w:sz w:val="28"/>
      <w:szCs w:val="28"/>
    </w:rPr>
  </w:style>
  <w:style w:type="character" w:default="1" w:styleId="14">
    <w:name w:val="Default Paragraph Font"/>
    <w:autoRedefine/>
    <w:semiHidden/>
    <w:qFormat/>
    <w:uiPriority w:val="0"/>
  </w:style>
  <w:style w:type="table" w:default="1" w:styleId="12">
    <w:name w:val="Normal Table"/>
    <w:autoRedefine/>
    <w:semiHidden/>
    <w:qFormat/>
    <w:uiPriority w:val="0"/>
    <w:tblPr>
      <w:tblCellMar>
        <w:top w:w="0" w:type="dxa"/>
        <w:left w:w="108" w:type="dxa"/>
        <w:bottom w:w="0" w:type="dxa"/>
        <w:right w:w="108" w:type="dxa"/>
      </w:tblCellMar>
    </w:tblPr>
  </w:style>
  <w:style w:type="paragraph" w:styleId="5">
    <w:name w:val="annotation text"/>
    <w:basedOn w:val="1"/>
    <w:autoRedefine/>
    <w:qFormat/>
    <w:uiPriority w:val="0"/>
    <w:pPr>
      <w:jc w:val="left"/>
    </w:pPr>
  </w:style>
  <w:style w:type="paragraph" w:styleId="6">
    <w:name w:val="Body Text"/>
    <w:basedOn w:val="1"/>
    <w:next w:val="1"/>
    <w:autoRedefine/>
    <w:qFormat/>
    <w:uiPriority w:val="0"/>
    <w:pPr>
      <w:spacing w:after="120"/>
    </w:pPr>
    <w:rPr>
      <w:szCs w:val="22"/>
    </w:rPr>
  </w:style>
  <w:style w:type="paragraph" w:styleId="7">
    <w:name w:val="Body Text Indent 2"/>
    <w:basedOn w:val="1"/>
    <w:autoRedefine/>
    <w:qFormat/>
    <w:uiPriority w:val="0"/>
    <w:pPr>
      <w:spacing w:line="300" w:lineRule="auto"/>
      <w:ind w:left="315" w:firstLine="585"/>
    </w:pPr>
    <w:rPr>
      <w:sz w:val="24"/>
      <w:szCs w:val="20"/>
    </w:rPr>
  </w:style>
  <w:style w:type="paragraph" w:styleId="8">
    <w:name w:val="footer"/>
    <w:basedOn w:val="1"/>
    <w:autoRedefine/>
    <w:qFormat/>
    <w:uiPriority w:val="0"/>
    <w:pPr>
      <w:tabs>
        <w:tab w:val="center" w:pos="4153"/>
        <w:tab w:val="right" w:pos="8306"/>
      </w:tabs>
      <w:snapToGrid w:val="0"/>
      <w:jc w:val="left"/>
    </w:pPr>
    <w:rPr>
      <w:sz w:val="18"/>
    </w:rPr>
  </w:style>
  <w:style w:type="paragraph" w:styleId="9">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0">
    <w:name w:val="Normal (Web)"/>
    <w:basedOn w:val="1"/>
    <w:autoRedefine/>
    <w:qFormat/>
    <w:uiPriority w:val="0"/>
    <w:pPr>
      <w:spacing w:before="0" w:beforeAutospacing="1" w:after="0" w:afterAutospacing="1"/>
      <w:ind w:left="0" w:right="0"/>
      <w:jc w:val="left"/>
    </w:pPr>
    <w:rPr>
      <w:kern w:val="0"/>
      <w:sz w:val="24"/>
      <w:lang w:val="en-US" w:eastAsia="zh-CN" w:bidi="ar"/>
    </w:rPr>
  </w:style>
  <w:style w:type="paragraph" w:styleId="11">
    <w:name w:val="Body Text First Indent"/>
    <w:basedOn w:val="6"/>
    <w:next w:val="1"/>
    <w:autoRedefine/>
    <w:unhideWhenUsed/>
    <w:qFormat/>
    <w:uiPriority w:val="99"/>
    <w:pPr>
      <w:ind w:firstLine="420"/>
    </w:pPr>
    <w:rPr>
      <w:rFonts w:eastAsia="楷体_GB2312"/>
      <w:sz w:val="32"/>
    </w:rPr>
  </w:style>
  <w:style w:type="table" w:styleId="13">
    <w:name w:val="Table Grid"/>
    <w:basedOn w:val="12"/>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5">
    <w:name w:val="Strong"/>
    <w:basedOn w:val="14"/>
    <w:autoRedefine/>
    <w:qFormat/>
    <w:uiPriority w:val="0"/>
    <w:rPr>
      <w:b/>
    </w:rPr>
  </w:style>
  <w:style w:type="paragraph" w:customStyle="1" w:styleId="16">
    <w:name w:val="Table Paragraph"/>
    <w:basedOn w:val="1"/>
    <w:autoRedefine/>
    <w:qFormat/>
    <w:uiPriority w:val="1"/>
    <w:pPr>
      <w:jc w:val="center"/>
    </w:pPr>
    <w:rPr>
      <w:rFonts w:ascii="宋体" w:hAnsi="宋体" w:eastAsia="宋体" w:cs="宋体"/>
      <w:lang w:val="zh-CN" w:eastAsia="zh-CN" w:bidi="zh-CN"/>
    </w:rPr>
  </w:style>
  <w:style w:type="paragraph" w:customStyle="1" w:styleId="17">
    <w:name w:val="列出段落1"/>
    <w:basedOn w:val="1"/>
    <w:autoRedefine/>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png"/><Relationship Id="rId7" Type="http://schemas.openxmlformats.org/officeDocument/2006/relationships/image" Target="media/image3.jpeg"/><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png"/><Relationship Id="rId11" Type="http://schemas.openxmlformats.org/officeDocument/2006/relationships/image" Target="media/image7.jpe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28</Pages>
  <Words>14485</Words>
  <Characters>15489</Characters>
  <Lines>0</Lines>
  <Paragraphs>0</Paragraphs>
  <TotalTime>15</TotalTime>
  <ScaleCrop>false</ScaleCrop>
  <LinksUpToDate>false</LinksUpToDate>
  <CharactersWithSpaces>15594</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2022-03-08T09:25:00Z</dcterms:created>
  <dc:creator>何雨秋</dc:creator>
  <cp:lastModifiedBy>妍妍夏日</cp:lastModifiedBy>
  <dcterms:modified xsi:type="dcterms:W3CDTF">2026-04-28T02:45:46Z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87ECFD2BD4FE41FD8A6E9FF25B5115BF_13</vt:lpwstr>
  </property>
  <property fmtid="{D5CDD505-2E9C-101B-9397-08002B2CF9AE}" pid="4" name="KSOTemplateDocerSaveRecord">
    <vt:lpwstr>eyJoZGlkIjoiOGUxYThiZWYzODY1MWQyYmRkZWM4YmFhMTAzMmU0NGUiLCJ1c2VySWQiOiIyODI5NjM5MDAifQ==</vt:lpwstr>
  </property>
</Properties>
</file>